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560" w:lineRule="exact"/>
        <w:jc w:val="left"/>
        <w:rPr>
          <w:rFonts w:eastAsia="黑体"/>
          <w:sz w:val="21"/>
          <w:szCs w:val="22"/>
        </w:rPr>
      </w:pPr>
      <w:r>
        <w:rPr>
          <w:rFonts w:eastAsia="黑体"/>
          <w:szCs w:val="32"/>
        </w:rPr>
        <w:t>附件4</w:t>
      </w:r>
    </w:p>
    <w:p>
      <w:pPr>
        <w:spacing w:line="560" w:lineRule="exact"/>
        <w:jc w:val="center"/>
        <w:rPr>
          <w:rFonts w:eastAsia="方正小标宋_GBK"/>
          <w:sz w:val="44"/>
          <w:szCs w:val="44"/>
        </w:rPr>
      </w:pPr>
    </w:p>
    <w:p>
      <w:pPr>
        <w:spacing w:line="560" w:lineRule="exact"/>
        <w:jc w:val="center"/>
        <w:rPr>
          <w:rFonts w:eastAsia="方正小标宋_GBK"/>
          <w:sz w:val="44"/>
          <w:szCs w:val="44"/>
        </w:rPr>
      </w:pPr>
      <w:r>
        <w:rPr>
          <w:rFonts w:eastAsia="方正小标宋_GBK"/>
          <w:sz w:val="44"/>
          <w:szCs w:val="44"/>
        </w:rPr>
        <w:t>社会发展领域研发项目申报指南</w:t>
      </w:r>
    </w:p>
    <w:p>
      <w:pPr>
        <w:jc w:val="center"/>
        <w:rPr>
          <w:rFonts w:eastAsia="楷体_GB2312"/>
          <w:szCs w:val="32"/>
        </w:rPr>
      </w:pPr>
      <w:r>
        <w:rPr>
          <w:rFonts w:eastAsia="楷体_GB2312"/>
          <w:szCs w:val="32"/>
        </w:rPr>
        <w:t>（该指南在线填写“四川省重点研发项目申报书”）</w:t>
      </w:r>
    </w:p>
    <w:p>
      <w:pPr>
        <w:spacing w:line="560" w:lineRule="exact"/>
        <w:ind w:firstLine="158" w:firstLineChars="44"/>
        <w:jc w:val="center"/>
        <w:rPr>
          <w:rFonts w:eastAsia="方正小标宋_GBK"/>
          <w:sz w:val="36"/>
          <w:szCs w:val="36"/>
        </w:rPr>
      </w:pPr>
    </w:p>
    <w:p>
      <w:pPr>
        <w:jc w:val="center"/>
        <w:rPr>
          <w:rFonts w:eastAsia="方正小标宋_GBK"/>
          <w:szCs w:val="32"/>
        </w:rPr>
      </w:pPr>
      <w:r>
        <w:rPr>
          <w:rFonts w:eastAsia="方正小标宋_GBK"/>
          <w:szCs w:val="32"/>
        </w:rPr>
        <w:t xml:space="preserve">第一部分   </w:t>
      </w:r>
    </w:p>
    <w:p>
      <w:pPr>
        <w:jc w:val="center"/>
        <w:rPr>
          <w:rFonts w:eastAsia="方正小标宋_GBK"/>
          <w:szCs w:val="32"/>
        </w:rPr>
      </w:pPr>
      <w:r>
        <w:rPr>
          <w:rFonts w:eastAsia="方正小标宋_GBK"/>
          <w:szCs w:val="32"/>
        </w:rPr>
        <w:t>社会发展领域重大项目申报指南</w:t>
      </w:r>
    </w:p>
    <w:p>
      <w:pPr>
        <w:spacing w:line="560" w:lineRule="exact"/>
        <w:ind w:firstLine="630"/>
        <w:rPr>
          <w:b/>
          <w:color w:val="000000"/>
          <w:sz w:val="21"/>
          <w:szCs w:val="22"/>
        </w:rPr>
      </w:pPr>
    </w:p>
    <w:p>
      <w:pPr>
        <w:autoSpaceDE w:val="0"/>
        <w:autoSpaceDN w:val="0"/>
        <w:adjustRightInd w:val="0"/>
        <w:snapToGrid w:val="0"/>
        <w:spacing w:line="560" w:lineRule="exact"/>
        <w:ind w:firstLine="630"/>
        <w:rPr>
          <w:rFonts w:hint="eastAsia"/>
          <w:bCs/>
          <w:kern w:val="0"/>
          <w:szCs w:val="32"/>
        </w:rPr>
      </w:pPr>
      <w:r>
        <w:rPr>
          <w:b/>
          <w:bCs/>
          <w:kern w:val="0"/>
          <w:szCs w:val="32"/>
        </w:rPr>
        <w:t>总体要求：</w:t>
      </w:r>
      <w:r>
        <w:rPr>
          <w:bCs/>
          <w:kern w:val="0"/>
          <w:szCs w:val="32"/>
        </w:rPr>
        <w:t>2018年，面向四川经济和社会发展需求，围绕省委、省政府全面创新改革试验“九张清单”落实，以增强自主创新能力为核心，以重大公益技术及产业共性技术研究开发与应用示范为重点，加强集成创新和引进消化吸收再创新，重点解决涉及全局性、跨行业、跨地区的重大技术问题，着力攻克一批关键技术，突破瓶颈制约，提升产业竞争力，为我省经济社会协调发展提供支撑。</w:t>
      </w:r>
    </w:p>
    <w:p>
      <w:pPr>
        <w:autoSpaceDE w:val="0"/>
        <w:autoSpaceDN w:val="0"/>
        <w:adjustRightInd w:val="0"/>
        <w:snapToGrid w:val="0"/>
        <w:spacing w:line="560" w:lineRule="exact"/>
        <w:ind w:firstLine="630"/>
        <w:rPr>
          <w:b/>
          <w:bCs/>
          <w:kern w:val="0"/>
          <w:szCs w:val="32"/>
        </w:rPr>
      </w:pPr>
      <w:r>
        <w:rPr>
          <w:b/>
          <w:bCs/>
          <w:kern w:val="0"/>
          <w:szCs w:val="32"/>
        </w:rPr>
        <w:t>资金支持方式：</w:t>
      </w:r>
      <w:r>
        <w:rPr>
          <w:kern w:val="0"/>
          <w:szCs w:val="32"/>
        </w:rPr>
        <w:t>专项资金采取前补助支持方式。</w:t>
      </w:r>
    </w:p>
    <w:p>
      <w:pPr>
        <w:autoSpaceDE w:val="0"/>
        <w:autoSpaceDN w:val="0"/>
        <w:adjustRightInd w:val="0"/>
        <w:snapToGrid w:val="0"/>
        <w:spacing w:line="560" w:lineRule="exact"/>
        <w:ind w:firstLine="630"/>
        <w:rPr>
          <w:b/>
          <w:kern w:val="0"/>
          <w:szCs w:val="32"/>
        </w:rPr>
      </w:pPr>
      <w:r>
        <w:rPr>
          <w:b/>
          <w:bCs/>
          <w:kern w:val="0"/>
          <w:szCs w:val="32"/>
        </w:rPr>
        <w:t>支持额度：</w:t>
      </w:r>
      <w:r>
        <w:rPr>
          <w:bCs/>
          <w:kern w:val="0"/>
          <w:szCs w:val="32"/>
        </w:rPr>
        <w:t>经费支持额度不超过300万元，具体见指南有关说明。</w:t>
      </w:r>
    </w:p>
    <w:p>
      <w:pPr>
        <w:autoSpaceDE w:val="0"/>
        <w:autoSpaceDN w:val="0"/>
        <w:adjustRightInd w:val="0"/>
        <w:snapToGrid w:val="0"/>
        <w:spacing w:line="560" w:lineRule="exact"/>
        <w:ind w:firstLine="630"/>
        <w:rPr>
          <w:bCs/>
          <w:kern w:val="0"/>
          <w:szCs w:val="32"/>
        </w:rPr>
      </w:pPr>
      <w:r>
        <w:rPr>
          <w:b/>
          <w:bCs/>
          <w:kern w:val="0"/>
          <w:szCs w:val="32"/>
        </w:rPr>
        <w:t>实施周期：</w:t>
      </w:r>
      <w:r>
        <w:rPr>
          <w:bCs/>
          <w:kern w:val="0"/>
          <w:szCs w:val="32"/>
        </w:rPr>
        <w:t>一般为两年，2018年1月至2019年12月。</w:t>
      </w:r>
    </w:p>
    <w:p>
      <w:pPr>
        <w:autoSpaceDE w:val="0"/>
        <w:autoSpaceDN w:val="0"/>
        <w:adjustRightInd w:val="0"/>
        <w:snapToGrid w:val="0"/>
        <w:spacing w:line="560" w:lineRule="exact"/>
        <w:ind w:firstLine="630"/>
        <w:rPr>
          <w:bCs/>
          <w:kern w:val="0"/>
          <w:szCs w:val="32"/>
        </w:rPr>
      </w:pPr>
      <w:r>
        <w:rPr>
          <w:b/>
          <w:kern w:val="0"/>
          <w:szCs w:val="32"/>
        </w:rPr>
        <w:t>重点领域：</w:t>
      </w:r>
      <w:r>
        <w:rPr>
          <w:bCs/>
          <w:kern w:val="0"/>
          <w:szCs w:val="32"/>
        </w:rPr>
        <w:t>药物研发、医疗器械、中医药、临床医学与预防医学、页岩气、资源保护与综合利用、环境</w:t>
      </w:r>
      <w:r>
        <w:rPr>
          <w:rFonts w:hint="eastAsia"/>
          <w:bCs/>
          <w:kern w:val="0"/>
          <w:szCs w:val="32"/>
        </w:rPr>
        <w:t>污染防治</w:t>
      </w:r>
      <w:r>
        <w:rPr>
          <w:bCs/>
          <w:kern w:val="0"/>
          <w:szCs w:val="32"/>
        </w:rPr>
        <w:t xml:space="preserve"> “三大战役”及</w:t>
      </w:r>
      <w:r>
        <w:rPr>
          <w:rFonts w:hint="eastAsia"/>
          <w:bCs/>
          <w:kern w:val="0"/>
          <w:szCs w:val="32"/>
        </w:rPr>
        <w:t>生态保护</w:t>
      </w:r>
      <w:r>
        <w:rPr>
          <w:bCs/>
          <w:kern w:val="0"/>
          <w:szCs w:val="32"/>
        </w:rPr>
        <w:t>、公共安全、文化旅游与特色城镇、可持续发展实验区等。</w:t>
      </w:r>
    </w:p>
    <w:p>
      <w:pPr>
        <w:autoSpaceDE w:val="0"/>
        <w:autoSpaceDN w:val="0"/>
        <w:adjustRightInd w:val="0"/>
        <w:snapToGrid w:val="0"/>
        <w:spacing w:line="560" w:lineRule="exact"/>
        <w:ind w:firstLine="630"/>
        <w:rPr>
          <w:rFonts w:eastAsia="黑体"/>
          <w:szCs w:val="32"/>
        </w:rPr>
      </w:pPr>
      <w:r>
        <w:rPr>
          <w:rFonts w:eastAsia="黑体"/>
          <w:szCs w:val="32"/>
        </w:rPr>
        <w:t>一、药物研发</w:t>
      </w:r>
    </w:p>
    <w:p>
      <w:pPr>
        <w:spacing w:line="560" w:lineRule="exact"/>
        <w:ind w:firstLine="630"/>
        <w:rPr>
          <w:rFonts w:eastAsia="楷体_GB2312"/>
          <w:szCs w:val="32"/>
        </w:rPr>
      </w:pPr>
      <w:r>
        <w:rPr>
          <w:rFonts w:eastAsia="楷体_GB2312"/>
          <w:szCs w:val="32"/>
        </w:rPr>
        <w:t>（一）创新药物品种开发。</w:t>
      </w:r>
    </w:p>
    <w:p>
      <w:pPr>
        <w:spacing w:line="560" w:lineRule="exact"/>
        <w:ind w:firstLine="630"/>
        <w:rPr>
          <w:szCs w:val="32"/>
        </w:rPr>
      </w:pPr>
      <w:r>
        <w:rPr>
          <w:szCs w:val="32"/>
        </w:rPr>
        <w:t>1.创新化学药研究开发。</w:t>
      </w:r>
    </w:p>
    <w:p>
      <w:pPr>
        <w:widowControl/>
        <w:spacing w:line="560" w:lineRule="exact"/>
        <w:ind w:firstLine="627"/>
        <w:rPr>
          <w:kern w:val="0"/>
          <w:szCs w:val="32"/>
        </w:rPr>
      </w:pPr>
      <w:r>
        <w:rPr>
          <w:kern w:val="0"/>
          <w:szCs w:val="32"/>
        </w:rPr>
        <w:t>研发具有自主知识产权的创新化学药和仿创结合的改良型新药、临床急需的仿制药、高难度的重要手性药物、高附加值的原料药和关键中间体，</w:t>
      </w:r>
      <w:r>
        <w:rPr>
          <w:szCs w:val="32"/>
        </w:rPr>
        <w:t>优先支持进入临床阶段的创新药物品种。</w:t>
      </w:r>
    </w:p>
    <w:p>
      <w:pPr>
        <w:widowControl/>
        <w:spacing w:line="560" w:lineRule="exact"/>
        <w:ind w:firstLine="630"/>
        <w:rPr>
          <w:kern w:val="0"/>
          <w:szCs w:val="32"/>
        </w:rPr>
      </w:pPr>
      <w:r>
        <w:rPr>
          <w:b/>
          <w:bCs/>
          <w:kern w:val="0"/>
          <w:szCs w:val="32"/>
        </w:rPr>
        <w:t>有关说明：</w:t>
      </w:r>
      <w:r>
        <w:rPr>
          <w:kern w:val="0"/>
          <w:szCs w:val="32"/>
        </w:rPr>
        <w:t>支持项目2-3项，支持经费每项不超过100万元，实施周期2年。鼓励产学研联合申报，企业牵头项目自筹经费与申请经费比例不低于2:1。</w:t>
      </w:r>
    </w:p>
    <w:p>
      <w:pPr>
        <w:spacing w:line="560" w:lineRule="exact"/>
        <w:ind w:firstLine="630"/>
        <w:rPr>
          <w:szCs w:val="32"/>
        </w:rPr>
      </w:pPr>
      <w:r>
        <w:rPr>
          <w:szCs w:val="32"/>
        </w:rPr>
        <w:t>2.创新生物药研究开发。</w:t>
      </w:r>
    </w:p>
    <w:p>
      <w:pPr>
        <w:widowControl/>
        <w:spacing w:line="560" w:lineRule="exact"/>
        <w:ind w:firstLine="627"/>
        <w:rPr>
          <w:kern w:val="0"/>
          <w:szCs w:val="32"/>
        </w:rPr>
      </w:pPr>
      <w:r>
        <w:rPr>
          <w:kern w:val="0"/>
          <w:szCs w:val="32"/>
        </w:rPr>
        <w:t>研发创新的抗体药物、重组蛋白药物、新型疫苗、血液制品等创新生物技术药物和临床急需的仿制生物药，</w:t>
      </w:r>
      <w:r>
        <w:rPr>
          <w:szCs w:val="32"/>
        </w:rPr>
        <w:t>优先支持进入临床阶段的创新药物品种。</w:t>
      </w:r>
    </w:p>
    <w:p>
      <w:pPr>
        <w:widowControl/>
        <w:spacing w:line="560" w:lineRule="exact"/>
        <w:ind w:firstLine="630"/>
        <w:rPr>
          <w:kern w:val="0"/>
          <w:szCs w:val="32"/>
        </w:rPr>
      </w:pPr>
      <w:r>
        <w:rPr>
          <w:b/>
          <w:bCs/>
          <w:kern w:val="0"/>
          <w:szCs w:val="32"/>
        </w:rPr>
        <w:t>有关说明</w:t>
      </w:r>
      <w:r>
        <w:rPr>
          <w:kern w:val="0"/>
          <w:szCs w:val="32"/>
        </w:rPr>
        <w:t>：支持项目1-2项，支持经费每项不超过100万元，实施周期2年。鼓励产学研联合申报，企业牵头项目自筹经费与申请经费比例不低于2:1。</w:t>
      </w:r>
    </w:p>
    <w:p>
      <w:pPr>
        <w:spacing w:line="560" w:lineRule="exact"/>
        <w:ind w:firstLine="630"/>
        <w:rPr>
          <w:szCs w:val="32"/>
        </w:rPr>
      </w:pPr>
      <w:r>
        <w:rPr>
          <w:szCs w:val="32"/>
        </w:rPr>
        <w:t>3.创新中药研究开发。</w:t>
      </w:r>
    </w:p>
    <w:p>
      <w:pPr>
        <w:spacing w:line="560" w:lineRule="exact"/>
        <w:ind w:firstLine="627"/>
        <w:rPr>
          <w:rFonts w:hint="eastAsia"/>
          <w:szCs w:val="32"/>
        </w:rPr>
      </w:pPr>
      <w:r>
        <w:rPr>
          <w:kern w:val="0"/>
          <w:szCs w:val="32"/>
        </w:rPr>
        <w:t>开展组分中药和现代复方中药等创新中药及民族药的研发，</w:t>
      </w:r>
      <w:r>
        <w:rPr>
          <w:szCs w:val="32"/>
        </w:rPr>
        <w:t>支持已有研究基础或具有显著临床疗效优势的中药活性成分研发和基于中医典籍的经典名方研发。</w:t>
      </w:r>
    </w:p>
    <w:p>
      <w:pPr>
        <w:spacing w:line="560" w:lineRule="exact"/>
        <w:ind w:firstLine="627"/>
        <w:rPr>
          <w:kern w:val="0"/>
          <w:szCs w:val="32"/>
        </w:rPr>
      </w:pPr>
      <w:r>
        <w:rPr>
          <w:b/>
          <w:bCs/>
          <w:kern w:val="0"/>
          <w:szCs w:val="32"/>
        </w:rPr>
        <w:t>有关说明：</w:t>
      </w:r>
      <w:r>
        <w:rPr>
          <w:kern w:val="0"/>
          <w:szCs w:val="32"/>
        </w:rPr>
        <w:t>支持项目1-2项，支持经费每项不超过100万元，实施周期2年。鼓励产学研联合申报，企业牵头项目自筹经费与申请经费比例不低于2:1。</w:t>
      </w:r>
    </w:p>
    <w:p>
      <w:pPr>
        <w:spacing w:line="560" w:lineRule="exact"/>
        <w:ind w:firstLine="630"/>
        <w:rPr>
          <w:szCs w:val="32"/>
        </w:rPr>
      </w:pPr>
      <w:r>
        <w:rPr>
          <w:szCs w:val="32"/>
        </w:rPr>
        <w:t>4.药物大品种二次开发。</w:t>
      </w:r>
    </w:p>
    <w:p>
      <w:pPr>
        <w:widowControl/>
        <w:spacing w:line="560" w:lineRule="exact"/>
        <w:ind w:firstLine="627"/>
        <w:rPr>
          <w:kern w:val="0"/>
          <w:szCs w:val="32"/>
        </w:rPr>
      </w:pPr>
      <w:r>
        <w:rPr>
          <w:kern w:val="0"/>
          <w:szCs w:val="32"/>
        </w:rPr>
        <w:t>针对人民基本医疗保障的需求，满足基本药物制度和新农合建设需要的特色优势药物大品种开展二次开发研究，重点开展质量控制关键技术和优化生产工艺等研究，提高2-3个药物大品种的技术水平和质量标准，培育符合社会需求的药物大品种和品牌产品。</w:t>
      </w:r>
    </w:p>
    <w:p>
      <w:pPr>
        <w:widowControl/>
        <w:spacing w:line="560" w:lineRule="exact"/>
        <w:ind w:firstLine="630"/>
        <w:rPr>
          <w:kern w:val="0"/>
          <w:szCs w:val="32"/>
        </w:rPr>
      </w:pPr>
      <w:r>
        <w:rPr>
          <w:b/>
          <w:bCs/>
          <w:kern w:val="0"/>
          <w:szCs w:val="32"/>
        </w:rPr>
        <w:t>有关说明：</w:t>
      </w:r>
      <w:r>
        <w:rPr>
          <w:kern w:val="0"/>
          <w:szCs w:val="32"/>
        </w:rPr>
        <w:t>支持项目2-3项，支持经费每项不超过100万元，实施周期2年。要求由该药品生产企业牵头，现有产品2016年销售收入5000万元以上，自筹经费与申请经费比例不低于2:1。</w:t>
      </w:r>
    </w:p>
    <w:p>
      <w:pPr>
        <w:spacing w:line="560" w:lineRule="exact"/>
        <w:ind w:firstLine="630"/>
        <w:rPr>
          <w:szCs w:val="32"/>
        </w:rPr>
      </w:pPr>
      <w:r>
        <w:rPr>
          <w:szCs w:val="32"/>
        </w:rPr>
        <w:t>5.创新制剂、新型辅料品种开发。</w:t>
      </w:r>
    </w:p>
    <w:p>
      <w:pPr>
        <w:widowControl/>
        <w:shd w:val="clear" w:color="auto" w:fill="FFFFFF"/>
        <w:spacing w:line="560" w:lineRule="exact"/>
        <w:ind w:firstLine="627"/>
        <w:rPr>
          <w:kern w:val="0"/>
          <w:szCs w:val="32"/>
        </w:rPr>
      </w:pPr>
      <w:r>
        <w:rPr>
          <w:kern w:val="0"/>
          <w:szCs w:val="32"/>
        </w:rPr>
        <w:t>开展新型高端制剂研发及规模化发展的重大共性关键技术研究，重点开展新型注射液、缓控释、长效靶向释药关键技术，新型吸入给药制剂及其规模化发展的重大共性关键技术研究；研发新型药用辅料、新型包材及给药装置并获准生产。</w:t>
      </w:r>
    </w:p>
    <w:p>
      <w:pPr>
        <w:widowControl/>
        <w:spacing w:line="560" w:lineRule="exact"/>
        <w:ind w:firstLine="630"/>
        <w:rPr>
          <w:kern w:val="0"/>
          <w:szCs w:val="32"/>
        </w:rPr>
      </w:pPr>
      <w:r>
        <w:rPr>
          <w:b/>
          <w:bCs/>
          <w:kern w:val="0"/>
          <w:szCs w:val="32"/>
        </w:rPr>
        <w:t>有关说明：</w:t>
      </w:r>
      <w:r>
        <w:rPr>
          <w:kern w:val="0"/>
          <w:szCs w:val="32"/>
        </w:rPr>
        <w:t>支持项目1-2项，支持经费每项不超过50万元，实施周期2年。鼓励产学研联合申报，企业牵头项目自筹经费与申请经费比例不低于2:1。</w:t>
      </w:r>
    </w:p>
    <w:p>
      <w:pPr>
        <w:widowControl/>
        <w:spacing w:line="560" w:lineRule="exact"/>
        <w:ind w:firstLine="630"/>
        <w:rPr>
          <w:rFonts w:eastAsia="楷体_GB2312"/>
          <w:szCs w:val="32"/>
        </w:rPr>
      </w:pPr>
      <w:r>
        <w:rPr>
          <w:rFonts w:eastAsia="楷体_GB2312"/>
          <w:szCs w:val="32"/>
        </w:rPr>
        <w:t>（二）药物研发平台建设。</w:t>
      </w:r>
    </w:p>
    <w:p>
      <w:pPr>
        <w:spacing w:line="560" w:lineRule="exact"/>
        <w:ind w:firstLine="630"/>
        <w:rPr>
          <w:szCs w:val="32"/>
        </w:rPr>
      </w:pPr>
      <w:r>
        <w:rPr>
          <w:szCs w:val="32"/>
        </w:rPr>
        <w:t>1.药效学研究平台建设及关键技术研究。</w:t>
      </w:r>
    </w:p>
    <w:p>
      <w:pPr>
        <w:spacing w:line="560" w:lineRule="exact"/>
        <w:ind w:firstLine="627"/>
        <w:rPr>
          <w:kern w:val="0"/>
          <w:szCs w:val="32"/>
        </w:rPr>
      </w:pPr>
      <w:r>
        <w:rPr>
          <w:kern w:val="0"/>
          <w:szCs w:val="32"/>
        </w:rPr>
        <w:t>开展药物药效评价及作用机理、药物靶点设计或验证、药效学动物模型、药物药效学评价技术体系、药代动力学、药物基因组学-药代动力学及药效学复合模型等关键共性技术研究，建立硬件设备先进、服务能力一流的，以疾病动物模型研发及服务为特色的，涵盖各疾病领域（肿瘤、神经、心血管、内分泌等）动物模型研发与应用的临床前新药有效性评价公共技术服务平台。</w:t>
      </w:r>
    </w:p>
    <w:p>
      <w:pPr>
        <w:widowControl/>
        <w:spacing w:line="560" w:lineRule="exact"/>
        <w:ind w:firstLine="630"/>
        <w:rPr>
          <w:kern w:val="0"/>
          <w:szCs w:val="32"/>
        </w:rPr>
      </w:pPr>
      <w:r>
        <w:rPr>
          <w:b/>
          <w:bCs/>
          <w:kern w:val="0"/>
          <w:szCs w:val="32"/>
        </w:rPr>
        <w:t>有关说明：</w:t>
      </w:r>
      <w:r>
        <w:rPr>
          <w:kern w:val="0"/>
          <w:szCs w:val="32"/>
        </w:rPr>
        <w:t>支持项目1项，支持经费不超过200万元，实施周期2年。要求企业牵头，自筹经费与申请经费比例不低于2:1。</w:t>
      </w:r>
    </w:p>
    <w:p>
      <w:pPr>
        <w:spacing w:line="560" w:lineRule="exact"/>
        <w:ind w:firstLine="630"/>
        <w:rPr>
          <w:szCs w:val="32"/>
        </w:rPr>
      </w:pPr>
      <w:r>
        <w:rPr>
          <w:szCs w:val="32"/>
        </w:rPr>
        <w:t>2.仿制药质量与疗效一致性评价体内外研究平台。</w:t>
      </w:r>
    </w:p>
    <w:p>
      <w:pPr>
        <w:widowControl/>
        <w:spacing w:line="560" w:lineRule="exact"/>
        <w:ind w:firstLine="640" w:firstLineChars="200"/>
        <w:jc w:val="left"/>
        <w:rPr>
          <w:kern w:val="0"/>
          <w:szCs w:val="32"/>
        </w:rPr>
      </w:pPr>
      <w:r>
        <w:rPr>
          <w:kern w:val="0"/>
          <w:szCs w:val="32"/>
        </w:rPr>
        <w:t>研究体外体内一致性评价关联研究新技术，搭建仿制药质量与疗效一致性评价体内外研究平台。重点以参比制剂为对照，全面深入地开展比对研究，同时与临床GCP基地合作，协助生产企业深挖产品质量内涵，找准产品的关键质控点，严控原辅料质量，优化处方工艺，提高仿制药的质量，达到与原研产品质量和疗效基本一致。</w:t>
      </w:r>
    </w:p>
    <w:p>
      <w:pPr>
        <w:widowControl/>
        <w:spacing w:line="560" w:lineRule="exact"/>
        <w:ind w:firstLine="630"/>
        <w:rPr>
          <w:kern w:val="0"/>
          <w:szCs w:val="32"/>
        </w:rPr>
      </w:pPr>
      <w:r>
        <w:rPr>
          <w:b/>
          <w:bCs/>
          <w:kern w:val="0"/>
          <w:szCs w:val="32"/>
        </w:rPr>
        <w:t>有关说明：</w:t>
      </w:r>
      <w:r>
        <w:rPr>
          <w:kern w:val="0"/>
          <w:szCs w:val="32"/>
        </w:rPr>
        <w:t>支持项目1项，支持经费不超过200万元，实施周期2年。鼓励产学研联合申报，企业牵头项目自筹经费与申请经费比例不低于2:1。</w:t>
      </w:r>
    </w:p>
    <w:p>
      <w:pPr>
        <w:widowControl/>
        <w:spacing w:line="560" w:lineRule="exact"/>
        <w:ind w:firstLine="630"/>
        <w:rPr>
          <w:rFonts w:eastAsia="黑体"/>
          <w:szCs w:val="32"/>
        </w:rPr>
      </w:pPr>
      <w:r>
        <w:rPr>
          <w:rFonts w:eastAsia="黑体"/>
          <w:szCs w:val="32"/>
        </w:rPr>
        <w:t>二、医疗器械</w:t>
      </w:r>
    </w:p>
    <w:p>
      <w:pPr>
        <w:spacing w:line="560" w:lineRule="exact"/>
        <w:ind w:firstLine="630"/>
        <w:rPr>
          <w:rFonts w:eastAsia="楷体_GB2312"/>
          <w:szCs w:val="32"/>
        </w:rPr>
      </w:pPr>
      <w:r>
        <w:rPr>
          <w:rFonts w:eastAsia="楷体_GB2312"/>
          <w:szCs w:val="32"/>
        </w:rPr>
        <w:t>（一）牙槽骨组织缺损修复新技术研究。</w:t>
      </w:r>
    </w:p>
    <w:p>
      <w:pPr>
        <w:spacing w:line="560" w:lineRule="exact"/>
        <w:ind w:firstLine="640" w:firstLineChars="200"/>
        <w:rPr>
          <w:szCs w:val="32"/>
        </w:rPr>
      </w:pPr>
      <w:r>
        <w:rPr>
          <w:szCs w:val="32"/>
        </w:rPr>
        <w:t>针对牙槽骨组织缺损修复中面临的骨修复材料及临床应用技术的难题，研发用于牙槽骨组织缺损修复的生物材料，包括具有骨诱导性的个性化牙槽骨修复材料和新型引导组织再生膜修复材料。开展临床试验，进行组织修复和功能重建的有效性评价，产品力争获得CFDA产品注册证，核心技术获得不少于2项国家发明专利。</w:t>
      </w:r>
    </w:p>
    <w:p>
      <w:pPr>
        <w:spacing w:line="560" w:lineRule="exact"/>
        <w:ind w:firstLine="641" w:firstLineChars="200"/>
        <w:rPr>
          <w:szCs w:val="32"/>
        </w:rPr>
      </w:pPr>
      <w:r>
        <w:rPr>
          <w:b/>
          <w:szCs w:val="32"/>
        </w:rPr>
        <w:t>有关说明：</w:t>
      </w:r>
      <w:r>
        <w:rPr>
          <w:szCs w:val="32"/>
        </w:rPr>
        <w:t>支持项目1项，</w:t>
      </w:r>
      <w:r>
        <w:rPr>
          <w:kern w:val="0"/>
          <w:szCs w:val="32"/>
        </w:rPr>
        <w:t>支持经费</w:t>
      </w:r>
      <w:r>
        <w:rPr>
          <w:szCs w:val="32"/>
        </w:rPr>
        <w:t>不超过100万元，实施周期2年。</w:t>
      </w:r>
      <w:r>
        <w:rPr>
          <w:kern w:val="0"/>
          <w:szCs w:val="32"/>
        </w:rPr>
        <w:t>鼓励产学研联合申报，企业牵头项目自筹经费与申请经费比例不低于2:1。</w:t>
      </w:r>
    </w:p>
    <w:p>
      <w:pPr>
        <w:spacing w:line="560" w:lineRule="exact"/>
        <w:ind w:firstLine="630"/>
        <w:rPr>
          <w:rFonts w:eastAsia="楷体_GB2312"/>
          <w:szCs w:val="32"/>
        </w:rPr>
      </w:pPr>
      <w:r>
        <w:rPr>
          <w:rFonts w:eastAsia="楷体_GB2312"/>
          <w:szCs w:val="32"/>
        </w:rPr>
        <w:t>（二）高通量测序基因检测技术研究。</w:t>
      </w:r>
    </w:p>
    <w:p>
      <w:pPr>
        <w:spacing w:line="560" w:lineRule="exact"/>
        <w:ind w:firstLine="640" w:firstLineChars="200"/>
        <w:rPr>
          <w:szCs w:val="32"/>
        </w:rPr>
      </w:pPr>
      <w:r>
        <w:rPr>
          <w:szCs w:val="32"/>
        </w:rPr>
        <w:t>研发具有自主知识产权的、可用于医疗机构独立开展的精准医学检测的新一代测序仪器及试剂的系统。测序仪系统具备高通量读取不少于10M碱基的能力，单次测序准确度不低于99%，序列读长大于150bp，测序时长在12-24小时内。仪器与试剂的配套系统在测序通量、数据质量、操作性、整合性、简便性、自动化程度等方面达到国际先进水平。开发相应的临床诊断与筛查项目，配以相应的数据处理软件以及报告生成解读系统，实现准确的自动化检测。</w:t>
      </w:r>
    </w:p>
    <w:p>
      <w:pPr>
        <w:spacing w:line="560" w:lineRule="exact"/>
        <w:ind w:firstLine="641" w:firstLineChars="200"/>
        <w:rPr>
          <w:szCs w:val="32"/>
        </w:rPr>
      </w:pPr>
      <w:r>
        <w:rPr>
          <w:b/>
          <w:szCs w:val="32"/>
        </w:rPr>
        <w:t>有关说明：</w:t>
      </w:r>
      <w:r>
        <w:rPr>
          <w:szCs w:val="32"/>
        </w:rPr>
        <w:t>支持项目1项，</w:t>
      </w:r>
      <w:r>
        <w:rPr>
          <w:kern w:val="0"/>
          <w:szCs w:val="32"/>
        </w:rPr>
        <w:t>支持经费</w:t>
      </w:r>
      <w:r>
        <w:rPr>
          <w:szCs w:val="32"/>
        </w:rPr>
        <w:t>不超过100万元，实施周期2年。要求企业牵头，自筹经费与</w:t>
      </w:r>
      <w:r>
        <w:rPr>
          <w:kern w:val="0"/>
          <w:szCs w:val="32"/>
        </w:rPr>
        <w:t>申请</w:t>
      </w:r>
      <w:r>
        <w:rPr>
          <w:szCs w:val="32"/>
        </w:rPr>
        <w:t>经费比例不低于2:1。</w:t>
      </w:r>
    </w:p>
    <w:p>
      <w:pPr>
        <w:spacing w:line="560" w:lineRule="exact"/>
        <w:ind w:firstLine="630"/>
        <w:rPr>
          <w:rFonts w:eastAsia="楷体_GB2312"/>
          <w:szCs w:val="32"/>
        </w:rPr>
      </w:pPr>
      <w:r>
        <w:rPr>
          <w:rFonts w:eastAsia="楷体_GB2312"/>
          <w:szCs w:val="32"/>
        </w:rPr>
        <w:t>（三）医学影像数字化人体用于基层医生诊疗能力提升。</w:t>
      </w:r>
    </w:p>
    <w:p>
      <w:pPr>
        <w:spacing w:line="560" w:lineRule="exact"/>
        <w:ind w:firstLine="640" w:firstLineChars="200"/>
        <w:rPr>
          <w:szCs w:val="32"/>
        </w:rPr>
      </w:pPr>
      <w:r>
        <w:rPr>
          <w:szCs w:val="32"/>
        </w:rPr>
        <w:t>针对基层医生诊疗能力提升的现实需要，研发基于医学影像数字化人体的基层临床路径模拟仿真教学与考核系统，重点包括医学影像医学数字化人体用于基层临床科室超声技能的培训和推广方法，初步建立基层临床科室超声能力建设标准及其认证和考核方法。开展多中心临床超声教学病例库和数据库研究，利用真实数据评价教学效果。</w:t>
      </w:r>
    </w:p>
    <w:p>
      <w:pPr>
        <w:spacing w:line="560" w:lineRule="exact"/>
        <w:ind w:firstLine="641" w:firstLineChars="200"/>
        <w:rPr>
          <w:kern w:val="0"/>
          <w:szCs w:val="32"/>
        </w:rPr>
      </w:pPr>
      <w:r>
        <w:rPr>
          <w:b/>
          <w:szCs w:val="32"/>
        </w:rPr>
        <w:t>有关说明：</w:t>
      </w:r>
      <w:r>
        <w:rPr>
          <w:szCs w:val="32"/>
        </w:rPr>
        <w:t>支持项目1项，</w:t>
      </w:r>
      <w:r>
        <w:rPr>
          <w:kern w:val="0"/>
          <w:szCs w:val="32"/>
        </w:rPr>
        <w:t>支持经费</w:t>
      </w:r>
      <w:r>
        <w:rPr>
          <w:szCs w:val="32"/>
        </w:rPr>
        <w:t>不超过100万，实施周期2年。</w:t>
      </w:r>
      <w:r>
        <w:rPr>
          <w:kern w:val="0"/>
          <w:szCs w:val="32"/>
        </w:rPr>
        <w:t>鼓励产学研联合申报，企业牵头项目自筹经费与申请经费比例不低于2:1。</w:t>
      </w:r>
    </w:p>
    <w:p>
      <w:pPr>
        <w:spacing w:line="560" w:lineRule="exact"/>
        <w:ind w:firstLine="630"/>
        <w:rPr>
          <w:rFonts w:eastAsia="楷体_GB2312"/>
          <w:szCs w:val="32"/>
        </w:rPr>
      </w:pPr>
      <w:r>
        <w:rPr>
          <w:rFonts w:eastAsia="楷体_GB2312"/>
          <w:szCs w:val="32"/>
        </w:rPr>
        <w:t>（四）移动医疗关键技术研究示范。</w:t>
      </w:r>
    </w:p>
    <w:p>
      <w:pPr>
        <w:spacing w:line="560" w:lineRule="exact"/>
        <w:ind w:firstLine="640" w:firstLineChars="200"/>
        <w:rPr>
          <w:kern w:val="0"/>
          <w:szCs w:val="32"/>
        </w:rPr>
      </w:pPr>
      <w:r>
        <w:rPr>
          <w:kern w:val="0"/>
          <w:szCs w:val="32"/>
        </w:rPr>
        <w:t>研发具有自主知识产权的车载移动医疗装备及。所搭载设备应至少为以下任一及以上中高端影像诊断设备：超导磁共振医学成像系统、X射线计算机断层扫描系统、多普勒数字超声诊断系统、数字X射线摄影系统。搭载设备应根据移动医疗的特殊性，在硬件工程设计，临床序列开发、软件工作流设计与实现、系统控制和应用、数据处理和传输等方面实现技术突破，达到较为准确的远程诊断及主动救治的目的，其核心技术水平达到国内先进。同时，应积极探索主动的影像检查服务模式，建立“网络大数据+技术服务”的服务模式方法研究。</w:t>
      </w:r>
    </w:p>
    <w:p>
      <w:pPr>
        <w:spacing w:line="560" w:lineRule="exact"/>
        <w:ind w:firstLine="641" w:firstLineChars="200"/>
        <w:rPr>
          <w:kern w:val="0"/>
          <w:szCs w:val="32"/>
        </w:rPr>
      </w:pPr>
      <w:r>
        <w:rPr>
          <w:b/>
          <w:szCs w:val="32"/>
        </w:rPr>
        <w:t>有关说明：</w:t>
      </w:r>
      <w:r>
        <w:rPr>
          <w:szCs w:val="32"/>
        </w:rPr>
        <w:t>支持项目1项，</w:t>
      </w:r>
      <w:r>
        <w:rPr>
          <w:kern w:val="0"/>
          <w:szCs w:val="32"/>
        </w:rPr>
        <w:t>支持经费</w:t>
      </w:r>
      <w:r>
        <w:rPr>
          <w:szCs w:val="32"/>
        </w:rPr>
        <w:t>不超过100万，实施周期2年。</w:t>
      </w:r>
      <w:r>
        <w:rPr>
          <w:kern w:val="0"/>
          <w:szCs w:val="32"/>
        </w:rPr>
        <w:t>鼓励产学研联合申报，企业牵头项目自筹经费与申请经费比例不低于2:1。</w:t>
      </w:r>
    </w:p>
    <w:p>
      <w:pPr>
        <w:spacing w:line="560" w:lineRule="exact"/>
        <w:ind w:firstLine="630"/>
        <w:rPr>
          <w:rFonts w:eastAsia="楷体_GB2312"/>
          <w:szCs w:val="32"/>
        </w:rPr>
      </w:pPr>
      <w:r>
        <w:rPr>
          <w:rFonts w:eastAsia="楷体_GB2312"/>
          <w:szCs w:val="32"/>
        </w:rPr>
        <w:t>（五）介入类导管精密管体编织技术研究应用</w:t>
      </w:r>
      <w:r>
        <w:rPr>
          <w:rFonts w:eastAsia="楷体_GB2312"/>
          <w:szCs w:val="32"/>
        </w:rPr>
        <w:tab/>
      </w:r>
      <w:r>
        <w:rPr>
          <w:rFonts w:eastAsia="楷体_GB2312"/>
          <w:szCs w:val="32"/>
        </w:rPr>
        <w:t>。</w:t>
      </w:r>
    </w:p>
    <w:p>
      <w:pPr>
        <w:spacing w:line="560" w:lineRule="exact"/>
        <w:ind w:firstLine="627"/>
        <w:rPr>
          <w:szCs w:val="32"/>
        </w:rPr>
      </w:pPr>
      <w:r>
        <w:rPr>
          <w:szCs w:val="32"/>
        </w:rPr>
        <w:t>基于介入类导管采用精密管体编织技术的应用方案的研究，研究精密管体编织股数、编织密度、编织方式、编织丝形态的影响，联合介入类导管应用环境，开发出具备良好支撑力和扭矩传递能力的产品，提高其临床应用的适应性。以精密管体编织技术为基础，开发介入类环形标测导管，进行临床试验，取得临床批件，力争完成CFDA产品注册申请。</w:t>
      </w:r>
    </w:p>
    <w:p>
      <w:pPr>
        <w:spacing w:line="560" w:lineRule="exact"/>
        <w:ind w:firstLine="630"/>
        <w:rPr>
          <w:rFonts w:hint="eastAsia"/>
          <w:szCs w:val="32"/>
        </w:rPr>
      </w:pPr>
      <w:r>
        <w:rPr>
          <w:b/>
          <w:szCs w:val="32"/>
        </w:rPr>
        <w:t>有关说明：</w:t>
      </w:r>
      <w:r>
        <w:rPr>
          <w:szCs w:val="32"/>
        </w:rPr>
        <w:t>支持项目1项，</w:t>
      </w:r>
      <w:r>
        <w:rPr>
          <w:kern w:val="0"/>
          <w:szCs w:val="32"/>
        </w:rPr>
        <w:t>支持经费</w:t>
      </w:r>
      <w:r>
        <w:rPr>
          <w:szCs w:val="32"/>
        </w:rPr>
        <w:t>不超过100万元，实施周期3年。要求企业牵头，自筹经费与</w:t>
      </w:r>
      <w:r>
        <w:rPr>
          <w:kern w:val="0"/>
          <w:szCs w:val="32"/>
        </w:rPr>
        <w:t>申请</w:t>
      </w:r>
      <w:r>
        <w:rPr>
          <w:szCs w:val="32"/>
        </w:rPr>
        <w:t>经费比例不低于2:1。</w:t>
      </w:r>
    </w:p>
    <w:p>
      <w:pPr>
        <w:spacing w:line="560" w:lineRule="exact"/>
        <w:ind w:firstLine="630"/>
        <w:rPr>
          <w:rFonts w:ascii="楷体_GB2312" w:hAnsi="楷体" w:eastAsia="楷体_GB2312"/>
          <w:szCs w:val="32"/>
        </w:rPr>
      </w:pPr>
      <w:r>
        <w:rPr>
          <w:rFonts w:ascii="楷体_GB2312" w:hAnsi="楷体" w:eastAsia="楷体_GB2312"/>
          <w:szCs w:val="32"/>
        </w:rPr>
        <w:t>（六）多模态智能轮椅开发</w:t>
      </w:r>
      <w:r>
        <w:rPr>
          <w:rFonts w:hint="eastAsia" w:ascii="楷体_GB2312" w:hAnsi="楷体" w:eastAsia="楷体_GB2312"/>
          <w:szCs w:val="32"/>
        </w:rPr>
        <w:t>。</w:t>
      </w:r>
    </w:p>
    <w:p>
      <w:pPr>
        <w:spacing w:line="560" w:lineRule="exact"/>
        <w:ind w:firstLine="627"/>
        <w:rPr>
          <w:rFonts w:hint="eastAsia" w:ascii="仿宋_GB2312"/>
          <w:szCs w:val="32"/>
        </w:rPr>
      </w:pPr>
      <w:r>
        <w:rPr>
          <w:rFonts w:hint="eastAsia" w:ascii="仿宋_GB2312"/>
          <w:szCs w:val="32"/>
        </w:rPr>
        <w:t>针对下肢运动功能障碍人群在日常移动行走、生活照料和康复训练等方面的实际需求，研究智能轮椅设计优化、控制策略和康复训练方法，以及自主避障、路况识别、自主安全、智能导航等关键技术；建立人体与轮椅界面之间生物力学模型，进行个性化定制研究；研究多个模态的人机交互方式，改善系统的静态和动态特性，实现智能轮椅姿态转换、助力行驶、导航避障和康复训练等功能；优化轮椅软硬件设计，实现多模态智能轮椅的小批量生产，并在福利机构中开展应用示范。</w:t>
      </w:r>
    </w:p>
    <w:p>
      <w:pPr>
        <w:spacing w:line="560" w:lineRule="exact"/>
        <w:ind w:firstLine="627"/>
        <w:rPr>
          <w:rFonts w:ascii="仿宋_GB2312"/>
          <w:szCs w:val="32"/>
        </w:rPr>
      </w:pPr>
      <w:r>
        <w:rPr>
          <w:rFonts w:ascii="仿宋_GB2312"/>
          <w:b/>
          <w:szCs w:val="32"/>
        </w:rPr>
        <w:t>有关说明：</w:t>
      </w:r>
      <w:r>
        <w:rPr>
          <w:rFonts w:ascii="仿宋_GB2312"/>
          <w:szCs w:val="32"/>
        </w:rPr>
        <w:t>支持1个项目，支持经费不超过200万元。申报单位</w:t>
      </w:r>
      <w:r>
        <w:rPr>
          <w:rFonts w:hint="eastAsia" w:ascii="仿宋_GB2312"/>
          <w:szCs w:val="32"/>
        </w:rPr>
        <w:t>应</w:t>
      </w:r>
      <w:r>
        <w:rPr>
          <w:rFonts w:ascii="仿宋_GB2312"/>
          <w:szCs w:val="32"/>
        </w:rPr>
        <w:t>具有较好的研发基础，鼓励产学研联合申报。</w:t>
      </w:r>
    </w:p>
    <w:p>
      <w:pPr>
        <w:spacing w:line="560" w:lineRule="exact"/>
        <w:ind w:firstLine="627"/>
        <w:rPr>
          <w:rFonts w:ascii="仿宋_GB2312"/>
          <w:szCs w:val="32"/>
        </w:rPr>
      </w:pPr>
      <w:r>
        <w:rPr>
          <w:rFonts w:ascii="楷体_GB2312" w:hAnsi="楷体" w:eastAsia="楷体_GB2312"/>
          <w:szCs w:val="32"/>
        </w:rPr>
        <w:t>（七）3D打印矫形器关键技术研发</w:t>
      </w:r>
      <w:r>
        <w:rPr>
          <w:rFonts w:hint="eastAsia" w:ascii="仿宋_GB2312"/>
          <w:szCs w:val="32"/>
        </w:rPr>
        <w:t>。</w:t>
      </w:r>
    </w:p>
    <w:p>
      <w:pPr>
        <w:spacing w:line="560" w:lineRule="exact"/>
        <w:ind w:firstLine="627"/>
        <w:rPr>
          <w:rFonts w:hint="eastAsia" w:ascii="仿宋_GB2312"/>
          <w:szCs w:val="32"/>
        </w:rPr>
      </w:pPr>
      <w:r>
        <w:rPr>
          <w:rFonts w:hint="eastAsia" w:ascii="仿宋_GB2312"/>
          <w:szCs w:val="32"/>
        </w:rPr>
        <w:t>针对传统定制式矫形器制作效率低、舒适性和经济性差、环境污染等问题，开展基于3D打印技术的个性化矫形器设计、优化、制造、评价和适配等关键技术研究。开发人体三维扫描重建系统和具有矫形器设计、数值仿真评价、界面与构型优化功能的数字化设计软件系统，实现矫形器的快速建模、优化设计、仿真分析和肌肉-骨骼-矫形器一体化的生物力学和力生物学评价；研究矫形器的微结构设计，实现矫形器减重和舒适性，满足强度需求；研究满足3D打印矫形器的适配技术与评价方法，完成10例身体畸形患者个性化矫形器的适配。</w:t>
      </w:r>
    </w:p>
    <w:p>
      <w:pPr>
        <w:spacing w:line="560" w:lineRule="exact"/>
        <w:ind w:firstLine="630"/>
        <w:rPr>
          <w:szCs w:val="32"/>
        </w:rPr>
      </w:pPr>
      <w:r>
        <w:rPr>
          <w:rFonts w:ascii="仿宋_GB2312"/>
          <w:b/>
          <w:szCs w:val="32"/>
        </w:rPr>
        <w:t>有关说明：</w:t>
      </w:r>
      <w:r>
        <w:rPr>
          <w:rFonts w:ascii="仿宋_GB2312"/>
          <w:szCs w:val="32"/>
        </w:rPr>
        <w:t>支持1个项目，支持经费不超过200万元。申报单位</w:t>
      </w:r>
      <w:r>
        <w:rPr>
          <w:rFonts w:hint="eastAsia" w:ascii="仿宋_GB2312"/>
          <w:szCs w:val="32"/>
        </w:rPr>
        <w:t>应</w:t>
      </w:r>
      <w:r>
        <w:rPr>
          <w:rFonts w:ascii="仿宋_GB2312"/>
          <w:szCs w:val="32"/>
        </w:rPr>
        <w:t>具有较好的研发基础，鼓励产学研联合申报。</w:t>
      </w:r>
    </w:p>
    <w:p>
      <w:pPr>
        <w:widowControl/>
        <w:spacing w:line="560" w:lineRule="exact"/>
        <w:ind w:firstLine="630"/>
        <w:rPr>
          <w:rFonts w:eastAsia="黑体"/>
          <w:szCs w:val="32"/>
        </w:rPr>
      </w:pPr>
      <w:r>
        <w:rPr>
          <w:rFonts w:eastAsia="黑体"/>
          <w:szCs w:val="32"/>
        </w:rPr>
        <w:t>三、中医药</w:t>
      </w:r>
    </w:p>
    <w:p>
      <w:pPr>
        <w:spacing w:line="560" w:lineRule="exact"/>
        <w:ind w:firstLine="630"/>
        <w:rPr>
          <w:rFonts w:eastAsia="楷体_GB2312"/>
          <w:szCs w:val="32"/>
        </w:rPr>
      </w:pPr>
      <w:r>
        <w:rPr>
          <w:rFonts w:eastAsia="楷体_GB2312"/>
          <w:szCs w:val="32"/>
        </w:rPr>
        <w:t>（一）中药材大品种培育。</w:t>
      </w:r>
    </w:p>
    <w:p>
      <w:pPr>
        <w:spacing w:line="560" w:lineRule="exact"/>
        <w:ind w:firstLine="627"/>
        <w:rPr>
          <w:szCs w:val="32"/>
        </w:rPr>
      </w:pPr>
      <w:r>
        <w:rPr>
          <w:szCs w:val="32"/>
        </w:rPr>
        <w:t>对我省具有资源优势和良好市场开发前景的黄连、花椒（藤椒）等中药材品种，按照“大中药、全产业链模式”，重点开展新型和传统饮片协调发展、提取物、中成药及保健品、日化品等多元多级产品综合开发，带动规范化种植、产品开发、流通等环节协同发展，促进中药大品种向产业链后端延伸，提高中药材附加值。</w:t>
      </w:r>
    </w:p>
    <w:p>
      <w:pPr>
        <w:widowControl/>
        <w:spacing w:line="560" w:lineRule="exact"/>
        <w:ind w:firstLine="630"/>
        <w:rPr>
          <w:kern w:val="0"/>
          <w:szCs w:val="32"/>
        </w:rPr>
      </w:pPr>
      <w:r>
        <w:rPr>
          <w:b/>
          <w:szCs w:val="32"/>
        </w:rPr>
        <w:t>有关说明：</w:t>
      </w:r>
      <w:r>
        <w:rPr>
          <w:szCs w:val="32"/>
        </w:rPr>
        <w:t>支持项目4-5项，</w:t>
      </w:r>
      <w:r>
        <w:rPr>
          <w:kern w:val="0"/>
          <w:szCs w:val="32"/>
        </w:rPr>
        <w:t>支持经费</w:t>
      </w:r>
      <w:r>
        <w:rPr>
          <w:szCs w:val="32"/>
        </w:rPr>
        <w:t>每项不超过100万元。</w:t>
      </w:r>
      <w:r>
        <w:rPr>
          <w:kern w:val="0"/>
          <w:szCs w:val="32"/>
        </w:rPr>
        <w:t>鼓励产学研联合申报，企业牵头项目自筹经费与申请经费比例不低于2:1。</w:t>
      </w:r>
    </w:p>
    <w:p>
      <w:pPr>
        <w:spacing w:line="560" w:lineRule="exact"/>
        <w:ind w:firstLine="630"/>
        <w:rPr>
          <w:rFonts w:eastAsia="楷体_GB2312"/>
          <w:szCs w:val="32"/>
        </w:rPr>
      </w:pPr>
      <w:r>
        <w:rPr>
          <w:rFonts w:eastAsia="楷体_GB2312"/>
          <w:szCs w:val="32"/>
        </w:rPr>
        <w:t>（二）川产道地药材农残、植物生长素等因素与质量的分析考察研究。</w:t>
      </w:r>
    </w:p>
    <w:p>
      <w:pPr>
        <w:spacing w:line="560" w:lineRule="exact"/>
        <w:ind w:firstLine="627"/>
        <w:rPr>
          <w:szCs w:val="32"/>
        </w:rPr>
      </w:pPr>
      <w:r>
        <w:rPr>
          <w:szCs w:val="32"/>
        </w:rPr>
        <w:t>研究农药残留、重金属残留、植物生长素等因素对川芎、泽泻、麦冬、丹参等川产道地药材品质的影响，提出重金属、农药及植物生长素的残留量控制的有效方法，开展试点。</w:t>
      </w:r>
    </w:p>
    <w:p>
      <w:pPr>
        <w:spacing w:line="560" w:lineRule="exact"/>
        <w:ind w:firstLine="630"/>
        <w:rPr>
          <w:szCs w:val="32"/>
        </w:rPr>
      </w:pPr>
      <w:r>
        <w:rPr>
          <w:b/>
          <w:szCs w:val="32"/>
        </w:rPr>
        <w:t>有关说明：</w:t>
      </w:r>
      <w:r>
        <w:rPr>
          <w:szCs w:val="32"/>
        </w:rPr>
        <w:t>支持项目1项，</w:t>
      </w:r>
      <w:r>
        <w:rPr>
          <w:kern w:val="0"/>
          <w:szCs w:val="32"/>
        </w:rPr>
        <w:t>支持经费</w:t>
      </w:r>
      <w:r>
        <w:rPr>
          <w:szCs w:val="32"/>
        </w:rPr>
        <w:t>每项不超过100万元，实施周期2年。鼓励</w:t>
      </w:r>
      <w:r>
        <w:rPr>
          <w:kern w:val="0"/>
          <w:szCs w:val="32"/>
        </w:rPr>
        <w:t>产学研联合申报，企业牵头项目自筹经费与申请经费比例不低于2:1</w:t>
      </w:r>
      <w:r>
        <w:rPr>
          <w:szCs w:val="32"/>
        </w:rPr>
        <w:t>。</w:t>
      </w:r>
    </w:p>
    <w:p>
      <w:pPr>
        <w:spacing w:line="560" w:lineRule="exact"/>
        <w:ind w:firstLine="630"/>
        <w:rPr>
          <w:rFonts w:eastAsia="楷体_GB2312"/>
          <w:szCs w:val="32"/>
        </w:rPr>
      </w:pPr>
      <w:r>
        <w:rPr>
          <w:rFonts w:eastAsia="楷体_GB2312"/>
          <w:szCs w:val="32"/>
        </w:rPr>
        <w:t>（三）中药大健康相关产品研发</w:t>
      </w:r>
    </w:p>
    <w:p>
      <w:pPr>
        <w:spacing w:line="560" w:lineRule="exact"/>
        <w:ind w:firstLine="627"/>
        <w:rPr>
          <w:szCs w:val="32"/>
        </w:rPr>
      </w:pPr>
      <w:r>
        <w:rPr>
          <w:szCs w:val="32"/>
        </w:rPr>
        <w:t>围绕市场需求，以川产道地药材和特色优势资源为主要原料，大力开展宜食、宜饮、宜用的中医药保健食品、养生食品、功能型化妆品、精油、日化产品等健康衍生品开发和产业化研究。</w:t>
      </w:r>
    </w:p>
    <w:p>
      <w:pPr>
        <w:widowControl/>
        <w:spacing w:line="560" w:lineRule="exact"/>
        <w:ind w:firstLine="630"/>
        <w:rPr>
          <w:kern w:val="0"/>
          <w:szCs w:val="32"/>
        </w:rPr>
      </w:pPr>
      <w:r>
        <w:rPr>
          <w:b/>
          <w:szCs w:val="32"/>
        </w:rPr>
        <w:t>有关说明：</w:t>
      </w:r>
      <w:r>
        <w:rPr>
          <w:szCs w:val="32"/>
        </w:rPr>
        <w:t>支持项目4-5项，</w:t>
      </w:r>
      <w:r>
        <w:rPr>
          <w:kern w:val="0"/>
          <w:szCs w:val="32"/>
        </w:rPr>
        <w:t>支持经费</w:t>
      </w:r>
      <w:r>
        <w:rPr>
          <w:szCs w:val="32"/>
        </w:rPr>
        <w:t>每项不超过50万元，实施周期2年。</w:t>
      </w:r>
      <w:r>
        <w:rPr>
          <w:kern w:val="0"/>
          <w:szCs w:val="32"/>
        </w:rPr>
        <w:t>鼓励产学研联合申报，企业牵头项目自筹经费与申请经费比例不低于2:1。</w:t>
      </w:r>
    </w:p>
    <w:p>
      <w:pPr>
        <w:spacing w:line="560" w:lineRule="exact"/>
        <w:ind w:firstLine="630"/>
        <w:rPr>
          <w:rFonts w:eastAsia="楷体_GB2312"/>
          <w:szCs w:val="32"/>
        </w:rPr>
      </w:pPr>
      <w:r>
        <w:rPr>
          <w:rFonts w:eastAsia="楷体_GB2312"/>
          <w:szCs w:val="32"/>
        </w:rPr>
        <w:t>（四）中医药防治重大慢性或难治性疾病的临床方案优化及评价研究。</w:t>
      </w:r>
    </w:p>
    <w:p>
      <w:pPr>
        <w:spacing w:line="560" w:lineRule="exact"/>
        <w:ind w:firstLine="627"/>
        <w:rPr>
          <w:szCs w:val="32"/>
        </w:rPr>
      </w:pPr>
      <w:r>
        <w:rPr>
          <w:szCs w:val="32"/>
        </w:rPr>
        <w:t>针对慢性肾病、慢性阻塞性肺病等重大慢性疾病、难治性疾病，立足提高疗效、控制复发、减少并发症，系统汇聚相关病种古今文献和临床病例，为临床诊治提供支持；完成3-5个中医药防治重大慢性疾病、难治性疾病成熟方案的多中心临床研究，明确中医药优势环节，筛选并优化具有疗效优势的中医或中西医结合治疗方案，建立3-5个中医药防治重大疾病、难治性疾病的循证指南，并初步阐明其疗效机制。</w:t>
      </w:r>
    </w:p>
    <w:p>
      <w:pPr>
        <w:spacing w:line="560" w:lineRule="exact"/>
        <w:ind w:firstLine="630"/>
        <w:rPr>
          <w:szCs w:val="32"/>
        </w:rPr>
      </w:pPr>
      <w:r>
        <w:rPr>
          <w:b/>
          <w:szCs w:val="32"/>
        </w:rPr>
        <w:t>有关说明：</w:t>
      </w:r>
      <w:r>
        <w:rPr>
          <w:szCs w:val="32"/>
        </w:rPr>
        <w:t>支持项目3-5项，</w:t>
      </w:r>
      <w:r>
        <w:rPr>
          <w:kern w:val="0"/>
          <w:szCs w:val="32"/>
        </w:rPr>
        <w:t>支持经费</w:t>
      </w:r>
      <w:r>
        <w:rPr>
          <w:szCs w:val="32"/>
        </w:rPr>
        <w:t>每项不超过50万元，实施周期2年。鼓励产学研联合申报。</w:t>
      </w:r>
    </w:p>
    <w:p>
      <w:pPr>
        <w:spacing w:line="560" w:lineRule="exact"/>
        <w:ind w:firstLine="630"/>
        <w:rPr>
          <w:rFonts w:eastAsia="楷体_GB2312"/>
          <w:szCs w:val="32"/>
        </w:rPr>
      </w:pPr>
      <w:r>
        <w:rPr>
          <w:rFonts w:eastAsia="楷体_GB2312"/>
          <w:szCs w:val="32"/>
        </w:rPr>
        <w:t>（五）中医药防治慢加急性肝衰竭的临床方案优化及评价研究。</w:t>
      </w:r>
    </w:p>
    <w:p>
      <w:pPr>
        <w:spacing w:line="560" w:lineRule="exact"/>
        <w:ind w:firstLine="627"/>
        <w:rPr>
          <w:szCs w:val="32"/>
        </w:rPr>
      </w:pPr>
      <w:r>
        <w:rPr>
          <w:szCs w:val="32"/>
        </w:rPr>
        <w:t>针对慢加急性肝衰竭这一肝科临床常见危重疾病，立足提高疗效、降低病死率，系统汇聚相关病种古今文献和临床病例，为临床诊治提供支持；完成1个中药防治慢加急性肝衰竭的多中心临床研究，明确中医药优势环节，筛选并优化具有疗效优势的中医或中西医结合治疗方案，建立循证指南，并初步阐明其疗效机制。</w:t>
      </w:r>
    </w:p>
    <w:p>
      <w:pPr>
        <w:spacing w:line="560" w:lineRule="exact"/>
        <w:ind w:firstLine="630"/>
        <w:rPr>
          <w:b/>
          <w:szCs w:val="32"/>
        </w:rPr>
      </w:pPr>
      <w:r>
        <w:rPr>
          <w:b/>
          <w:szCs w:val="32"/>
        </w:rPr>
        <w:t>有关说明：</w:t>
      </w:r>
      <w:r>
        <w:rPr>
          <w:szCs w:val="32"/>
        </w:rPr>
        <w:t>支持项目1项，</w:t>
      </w:r>
      <w:r>
        <w:rPr>
          <w:kern w:val="0"/>
          <w:szCs w:val="32"/>
        </w:rPr>
        <w:t>支持经费</w:t>
      </w:r>
      <w:r>
        <w:rPr>
          <w:szCs w:val="32"/>
        </w:rPr>
        <w:t>不超过100万元，实施周期3年；要求牵头单位具有长期从事中医或中西医结合肝病临床、科研工作基础，具有本病相关国家级医学重点学科，鼓励产学研联合申报。</w:t>
      </w:r>
    </w:p>
    <w:p>
      <w:pPr>
        <w:spacing w:line="560" w:lineRule="exact"/>
        <w:ind w:firstLine="630"/>
        <w:rPr>
          <w:rFonts w:eastAsia="楷体_GB2312"/>
          <w:szCs w:val="32"/>
        </w:rPr>
      </w:pPr>
      <w:r>
        <w:rPr>
          <w:rFonts w:eastAsia="楷体_GB2312"/>
          <w:szCs w:val="32"/>
        </w:rPr>
        <w:t>（六）中医药特色的肠道菌群相关性疾病的关键技术研究。</w:t>
      </w:r>
    </w:p>
    <w:p>
      <w:pPr>
        <w:spacing w:line="560" w:lineRule="exact"/>
        <w:ind w:firstLine="627"/>
        <w:jc w:val="left"/>
        <w:rPr>
          <w:szCs w:val="32"/>
        </w:rPr>
      </w:pPr>
      <w:r>
        <w:rPr>
          <w:szCs w:val="32"/>
        </w:rPr>
        <w:t>基于中医药对于肠道菌群调控起重要作用，研究功能性胃肠炎、肠易激综合征、便秘等疾病肠道微生态环境改变特点，获得该类患者临床特点、防控策略；研发通过优化肠道菌群调控来治疗该类患者发酵中药、重要单体、民族医药种类、制法、质量控制、质效关系、适宜剂量、量效关系，对营养吸收、生长发育、生物屏障、免疫调节、脂肪代谢的影响，建立基于肠道菌群的精准治疗策略。</w:t>
      </w:r>
    </w:p>
    <w:p>
      <w:pPr>
        <w:spacing w:line="560" w:lineRule="exact"/>
        <w:ind w:firstLine="627"/>
        <w:rPr>
          <w:szCs w:val="32"/>
        </w:rPr>
      </w:pPr>
      <w:r>
        <w:rPr>
          <w:b/>
          <w:szCs w:val="32"/>
        </w:rPr>
        <w:t>有关说明：</w:t>
      </w:r>
      <w:r>
        <w:rPr>
          <w:szCs w:val="32"/>
        </w:rPr>
        <w:t>支持项目1项，</w:t>
      </w:r>
      <w:r>
        <w:rPr>
          <w:kern w:val="0"/>
          <w:szCs w:val="32"/>
        </w:rPr>
        <w:t>支持经费</w:t>
      </w:r>
      <w:r>
        <w:rPr>
          <w:szCs w:val="32"/>
        </w:rPr>
        <w:t>不超过100万元，实施周期3年。鼓励产学研联合申报。</w:t>
      </w:r>
    </w:p>
    <w:p>
      <w:pPr>
        <w:spacing w:line="560" w:lineRule="exact"/>
        <w:ind w:firstLine="630"/>
        <w:rPr>
          <w:rFonts w:eastAsia="楷体_GB2312"/>
          <w:szCs w:val="32"/>
        </w:rPr>
      </w:pPr>
      <w:r>
        <w:rPr>
          <w:rFonts w:eastAsia="楷体_GB2312"/>
          <w:szCs w:val="32"/>
        </w:rPr>
        <w:t>（七）中西医结合防治心脑血管疾病关键技术研究。</w:t>
      </w:r>
    </w:p>
    <w:p>
      <w:pPr>
        <w:spacing w:line="560" w:lineRule="exact"/>
        <w:ind w:firstLine="627"/>
        <w:rPr>
          <w:szCs w:val="32"/>
        </w:rPr>
      </w:pPr>
      <w:r>
        <w:rPr>
          <w:szCs w:val="32"/>
        </w:rPr>
        <w:t>开展中西医结合防治动脉粥样硬化性心脑血管疾病（ASCVVD）关键技术研究，建立协作网络，研究推广中西医结合诊治ASCVVD特色诊疗技术和方案，进行全省ASCVVD的流行病学调查。研究开发APP，研究相关病人及病种管理、诊疗咨询、健康教育及保健的系统开发和运行。开展中药复方制剂防治ASCVVD的机制研究和临床病例观察。</w:t>
      </w:r>
    </w:p>
    <w:p>
      <w:pPr>
        <w:spacing w:line="560" w:lineRule="exact"/>
        <w:ind w:firstLine="630"/>
        <w:rPr>
          <w:szCs w:val="32"/>
        </w:rPr>
      </w:pPr>
      <w:r>
        <w:rPr>
          <w:b/>
          <w:szCs w:val="32"/>
        </w:rPr>
        <w:t>有关说明：</w:t>
      </w:r>
      <w:r>
        <w:rPr>
          <w:szCs w:val="32"/>
        </w:rPr>
        <w:t>支持项目1项，</w:t>
      </w:r>
      <w:r>
        <w:rPr>
          <w:kern w:val="0"/>
          <w:szCs w:val="32"/>
        </w:rPr>
        <w:t>支持经费</w:t>
      </w:r>
      <w:r>
        <w:rPr>
          <w:szCs w:val="32"/>
        </w:rPr>
        <w:t>不超过100万元，实施周期3年。鼓励产学研联合申报。</w:t>
      </w:r>
    </w:p>
    <w:p>
      <w:pPr>
        <w:spacing w:line="560" w:lineRule="exact"/>
        <w:ind w:firstLine="630"/>
        <w:rPr>
          <w:szCs w:val="32"/>
        </w:rPr>
      </w:pPr>
      <w:r>
        <w:rPr>
          <w:rFonts w:eastAsia="楷体_GB2312"/>
          <w:szCs w:val="32"/>
        </w:rPr>
        <w:t>（八）中医人工智能诊疗系统的开发研究</w:t>
      </w:r>
      <w:r>
        <w:rPr>
          <w:szCs w:val="32"/>
        </w:rPr>
        <w:t>。</w:t>
      </w:r>
    </w:p>
    <w:p>
      <w:pPr>
        <w:spacing w:line="560" w:lineRule="exact"/>
        <w:ind w:firstLine="630"/>
        <w:rPr>
          <w:szCs w:val="32"/>
        </w:rPr>
      </w:pPr>
      <w:r>
        <w:rPr>
          <w:szCs w:val="32"/>
        </w:rPr>
        <w:t>基于中医望闻问切四诊的理论基础，借助大数据分析和云计算技术，通过模拟名老中医望，闻，问，切四诊的临床过程及辨证思维，实现中医人工智能诊断；系统精准模拟名老中医专家用药习惯和诊疗方法，显示中医治疗方案和建议处方。 </w:t>
      </w:r>
    </w:p>
    <w:p>
      <w:pPr>
        <w:spacing w:line="560" w:lineRule="exact"/>
        <w:ind w:firstLine="630"/>
        <w:rPr>
          <w:szCs w:val="32"/>
        </w:rPr>
      </w:pPr>
      <w:r>
        <w:rPr>
          <w:b/>
          <w:szCs w:val="32"/>
        </w:rPr>
        <w:t>有关说明：</w:t>
      </w:r>
      <w:r>
        <w:rPr>
          <w:szCs w:val="32"/>
        </w:rPr>
        <w:t>支持项目1项，</w:t>
      </w:r>
      <w:r>
        <w:rPr>
          <w:kern w:val="0"/>
          <w:szCs w:val="32"/>
        </w:rPr>
        <w:t>支持经费</w:t>
      </w:r>
      <w:r>
        <w:rPr>
          <w:szCs w:val="32"/>
        </w:rPr>
        <w:t>不超过100万，实施周期2-3年；鼓励产学研联合申报。</w:t>
      </w:r>
    </w:p>
    <w:p>
      <w:pPr>
        <w:spacing w:line="560" w:lineRule="exact"/>
        <w:ind w:firstLine="630"/>
        <w:rPr>
          <w:rFonts w:eastAsia="楷体_GB2312"/>
          <w:szCs w:val="32"/>
        </w:rPr>
      </w:pPr>
      <w:r>
        <w:rPr>
          <w:rFonts w:eastAsia="楷体_GB2312"/>
          <w:szCs w:val="32"/>
        </w:rPr>
        <w:t>（九）四川省中药资源动态监测关键技术及应用。</w:t>
      </w:r>
    </w:p>
    <w:p>
      <w:pPr>
        <w:spacing w:line="560" w:lineRule="exact"/>
        <w:ind w:firstLine="627"/>
        <w:jc w:val="left"/>
        <w:rPr>
          <w:szCs w:val="32"/>
        </w:rPr>
      </w:pPr>
      <w:r>
        <w:rPr>
          <w:szCs w:val="32"/>
        </w:rPr>
        <w:t>构建面向市场需求、政府引导、整合优质资源、层次清晰、分工明确、组织架构稳定和合作成果共享的国家基本药物中药原料质量监测和保障技术服务体系，建立可以动态反映四川中药资源变化的数据库系统，实现对数据的搜集和管理，并基于搜集的数据，利用大数据挖掘技术，实现远程服务监控系统，构建集合后台数据分析和前台多媒体效果展示的监控中心；建设1个省级中药资源动态监测和技术服务平台，建立基于中药资源、种子种苗基地、道地药材、中药材GAP基地等的基础数据库，构建四川省中药资源信息网络化共享服务平台；建设10-20个中药资源动态监测和服务站点，建成“省级中心-监测站点”的省级中药资源信息和技术服务网络；动态监测20-50种主流川产道地药材的资源、种植及质量等方面的变化，分析主要影响因素及对策，提供科学的评价方法和技术服务；推广先进生产技术，提供全面、准确、及时的中药资源信息及趋势预测，促进产需衔接，有效服务于生产和市场。</w:t>
      </w:r>
    </w:p>
    <w:p>
      <w:pPr>
        <w:spacing w:line="560" w:lineRule="exact"/>
        <w:ind w:firstLine="630"/>
        <w:rPr>
          <w:szCs w:val="32"/>
        </w:rPr>
      </w:pPr>
      <w:r>
        <w:rPr>
          <w:b/>
          <w:szCs w:val="32"/>
        </w:rPr>
        <w:t>有关说明：</w:t>
      </w:r>
      <w:r>
        <w:rPr>
          <w:szCs w:val="32"/>
        </w:rPr>
        <w:t>支持项目1项，</w:t>
      </w:r>
      <w:r>
        <w:rPr>
          <w:kern w:val="0"/>
          <w:szCs w:val="32"/>
        </w:rPr>
        <w:t>支持经费</w:t>
      </w:r>
      <w:r>
        <w:rPr>
          <w:szCs w:val="32"/>
        </w:rPr>
        <w:t>不超过100万元，实施周期3年。鼓励产学研联合申报。</w:t>
      </w:r>
    </w:p>
    <w:p>
      <w:pPr>
        <w:spacing w:line="560" w:lineRule="exact"/>
        <w:ind w:firstLine="630"/>
        <w:rPr>
          <w:rFonts w:eastAsia="楷体_GB2312"/>
          <w:szCs w:val="32"/>
        </w:rPr>
      </w:pPr>
      <w:r>
        <w:rPr>
          <w:rFonts w:eastAsia="楷体_GB2312"/>
          <w:szCs w:val="32"/>
        </w:rPr>
        <w:t>（十）中药快速检测技术的研发与示范。</w:t>
      </w:r>
    </w:p>
    <w:p>
      <w:pPr>
        <w:spacing w:line="560" w:lineRule="exact"/>
        <w:ind w:firstLine="627"/>
        <w:rPr>
          <w:szCs w:val="32"/>
        </w:rPr>
      </w:pPr>
      <w:r>
        <w:rPr>
          <w:szCs w:val="32"/>
        </w:rPr>
        <w:t>研究四川省1-2种名贵中药的资源与市场现状，在中国药典现有标准的基础上，研究1-2种名贵中药的快速检测技术（基于PCR技术或ELISA技术或其它稳定可靠的新技术），重点解决快速鉴别真伪、人工与野生和部分安全性指标的快速检测，并在一定范围内进行示范推广，为名贵中药的快速检测提供示范。</w:t>
      </w:r>
    </w:p>
    <w:p>
      <w:pPr>
        <w:spacing w:line="560" w:lineRule="exact"/>
        <w:ind w:firstLine="630"/>
        <w:rPr>
          <w:b/>
          <w:szCs w:val="32"/>
        </w:rPr>
      </w:pPr>
      <w:r>
        <w:rPr>
          <w:b/>
          <w:szCs w:val="32"/>
        </w:rPr>
        <w:t>有关说明：</w:t>
      </w:r>
      <w:r>
        <w:rPr>
          <w:szCs w:val="32"/>
        </w:rPr>
        <w:t>支持项目1项，</w:t>
      </w:r>
      <w:r>
        <w:rPr>
          <w:kern w:val="0"/>
          <w:szCs w:val="32"/>
        </w:rPr>
        <w:t>支持经费</w:t>
      </w:r>
      <w:r>
        <w:rPr>
          <w:szCs w:val="32"/>
        </w:rPr>
        <w:t>不超过100万元，实施周期3年。鼓励产学研联合申报。</w:t>
      </w:r>
    </w:p>
    <w:p>
      <w:pPr>
        <w:spacing w:line="560" w:lineRule="exact"/>
        <w:ind w:firstLine="630"/>
        <w:rPr>
          <w:rFonts w:eastAsia="楷体_GB2312"/>
          <w:szCs w:val="32"/>
        </w:rPr>
      </w:pPr>
      <w:r>
        <w:rPr>
          <w:rFonts w:eastAsia="楷体_GB2312"/>
          <w:szCs w:val="32"/>
        </w:rPr>
        <w:t>（十一）中药质量检测及道地药材认证技术研究与推广。</w:t>
      </w:r>
    </w:p>
    <w:p>
      <w:pPr>
        <w:spacing w:line="560" w:lineRule="exact"/>
        <w:ind w:firstLine="627"/>
        <w:rPr>
          <w:szCs w:val="32"/>
        </w:rPr>
      </w:pPr>
      <w:r>
        <w:rPr>
          <w:szCs w:val="32"/>
        </w:rPr>
        <w:t>研究中药质量检测新技术1-2项（与道地药材认证紧密相关的关键技术，如道地性评价等）、开发完善道地药材认证技术标准并获得国家认监委备案，选择四川道地药材和国内知名道地药材2-3种进行检测新技术推广并进行道地药材认证工作，为国家实施道地药材评价认定提供四川标准和依据。</w:t>
      </w:r>
    </w:p>
    <w:p>
      <w:pPr>
        <w:spacing w:line="560" w:lineRule="exact"/>
        <w:ind w:firstLine="630"/>
        <w:rPr>
          <w:b/>
          <w:szCs w:val="32"/>
        </w:rPr>
      </w:pPr>
      <w:r>
        <w:rPr>
          <w:b/>
          <w:szCs w:val="32"/>
        </w:rPr>
        <w:t>有关说明：</w:t>
      </w:r>
      <w:r>
        <w:rPr>
          <w:szCs w:val="32"/>
        </w:rPr>
        <w:t>支持项目1项，</w:t>
      </w:r>
      <w:r>
        <w:rPr>
          <w:kern w:val="0"/>
          <w:szCs w:val="32"/>
        </w:rPr>
        <w:t>支持经费</w:t>
      </w:r>
      <w:r>
        <w:rPr>
          <w:szCs w:val="32"/>
        </w:rPr>
        <w:t>不超过100万元，实施周期3年。鼓励产学研联合申报。</w:t>
      </w:r>
    </w:p>
    <w:p>
      <w:pPr>
        <w:spacing w:line="560" w:lineRule="exact"/>
        <w:ind w:firstLine="630"/>
        <w:rPr>
          <w:rFonts w:eastAsia="楷体_GB2312"/>
          <w:szCs w:val="32"/>
        </w:rPr>
      </w:pPr>
      <w:r>
        <w:rPr>
          <w:rFonts w:eastAsia="楷体_GB2312"/>
          <w:szCs w:val="32"/>
        </w:rPr>
        <w:t>（十二）智能中药房研究和应用推广。</w:t>
      </w:r>
    </w:p>
    <w:p>
      <w:pPr>
        <w:spacing w:line="560" w:lineRule="exact"/>
        <w:ind w:firstLine="627"/>
        <w:rPr>
          <w:szCs w:val="32"/>
        </w:rPr>
      </w:pPr>
      <w:r>
        <w:rPr>
          <w:szCs w:val="32"/>
        </w:rPr>
        <w:t>通过开展现代机械制造技术、网络信息技术、电气控制技术与中医药传统理论和文化的集成应用，突破中药配方颗粒智能调配关键技术难点，实现调配设备与医院医疗系统的数据交互，研发规模化、高精度智能发药关键技术和装备，研究成果在200家以上医院推广示范，为医院中药房的信息化建设解决关键问题。</w:t>
      </w:r>
    </w:p>
    <w:p>
      <w:pPr>
        <w:spacing w:line="560" w:lineRule="exact"/>
        <w:ind w:firstLine="630"/>
        <w:rPr>
          <w:szCs w:val="32"/>
        </w:rPr>
      </w:pPr>
      <w:r>
        <w:rPr>
          <w:b/>
          <w:szCs w:val="32"/>
        </w:rPr>
        <w:t>有关说明：</w:t>
      </w:r>
      <w:r>
        <w:rPr>
          <w:szCs w:val="32"/>
        </w:rPr>
        <w:t>支持项目1项，</w:t>
      </w:r>
      <w:r>
        <w:rPr>
          <w:kern w:val="0"/>
          <w:szCs w:val="32"/>
        </w:rPr>
        <w:t>支持经费</w:t>
      </w:r>
      <w:r>
        <w:rPr>
          <w:szCs w:val="32"/>
        </w:rPr>
        <w:t>不超过100万元，实施周期2年。鼓励产学研联合申报</w:t>
      </w:r>
      <w:r>
        <w:rPr>
          <w:kern w:val="0"/>
          <w:szCs w:val="32"/>
        </w:rPr>
        <w:t>，企业牵头项目自筹经费与申请经费比例不低于2:1</w:t>
      </w:r>
      <w:r>
        <w:rPr>
          <w:szCs w:val="32"/>
        </w:rPr>
        <w:t>。</w:t>
      </w:r>
    </w:p>
    <w:p>
      <w:pPr>
        <w:widowControl/>
        <w:spacing w:line="560" w:lineRule="exact"/>
        <w:ind w:firstLine="630"/>
        <w:rPr>
          <w:rFonts w:eastAsia="黑体"/>
          <w:szCs w:val="32"/>
        </w:rPr>
      </w:pPr>
      <w:r>
        <w:rPr>
          <w:rFonts w:eastAsia="黑体"/>
          <w:szCs w:val="32"/>
        </w:rPr>
        <w:t>四、临床医学与预防医学</w:t>
      </w:r>
    </w:p>
    <w:p>
      <w:pPr>
        <w:spacing w:line="560" w:lineRule="exact"/>
        <w:ind w:firstLine="630"/>
        <w:rPr>
          <w:rFonts w:eastAsia="楷体_GB2312"/>
          <w:szCs w:val="32"/>
        </w:rPr>
      </w:pPr>
      <w:r>
        <w:rPr>
          <w:rFonts w:eastAsia="楷体_GB2312"/>
          <w:szCs w:val="32"/>
        </w:rPr>
        <w:t>（一）医、教、研、管全链条援藏关键技术研究及应用示范。</w:t>
      </w:r>
    </w:p>
    <w:p>
      <w:pPr>
        <w:spacing w:line="560" w:lineRule="exact"/>
        <w:ind w:firstLine="627"/>
        <w:rPr>
          <w:b/>
          <w:szCs w:val="32"/>
        </w:rPr>
      </w:pPr>
      <w:r>
        <w:rPr>
          <w:kern w:val="0"/>
          <w:szCs w:val="32"/>
        </w:rPr>
        <w:t>集成对口单位医、教、研、管的需求和资源，重点研究医院适宜管理模式、人才培养方式、重大慢性疾病管理技术、多发病常见病适宜治疗和护理技术和循证药物使用及管理模式；建立人才、疾病临床资料、医院管理基础数据库；实现申请与对口单位（不少于两家西藏自治区相关大型医疗机构）双方先进、高效、安全的人才培养、医疗服务、健康教育、医疗管理的远程互通和现场指导，大幅度提升对口单位的医疗服务和管理能力、水平、质量和效益及辐射和持续稳定发展能力。</w:t>
      </w:r>
    </w:p>
    <w:p>
      <w:pPr>
        <w:spacing w:line="560" w:lineRule="exact"/>
        <w:ind w:firstLine="641" w:firstLineChars="200"/>
        <w:rPr>
          <w:kern w:val="0"/>
          <w:szCs w:val="32"/>
        </w:rPr>
      </w:pPr>
      <w:r>
        <w:rPr>
          <w:b/>
          <w:kern w:val="0"/>
          <w:szCs w:val="32"/>
        </w:rPr>
        <w:t>有关说明：</w:t>
      </w:r>
      <w:r>
        <w:rPr>
          <w:kern w:val="0"/>
          <w:szCs w:val="32"/>
        </w:rPr>
        <w:t>支持项目1</w:t>
      </w:r>
      <w:r>
        <w:rPr>
          <w:szCs w:val="32"/>
        </w:rPr>
        <w:t>项</w:t>
      </w:r>
      <w:r>
        <w:rPr>
          <w:kern w:val="0"/>
          <w:szCs w:val="32"/>
        </w:rPr>
        <w:t>，支持经费不超过300万元，实施周期3年。牵头单位有丰富的医疗、教学、科研及医院管理经验，具有科技援疆援藏等少数民族地区的成功经验。</w:t>
      </w:r>
    </w:p>
    <w:p>
      <w:pPr>
        <w:spacing w:line="560" w:lineRule="exact"/>
        <w:ind w:firstLine="630"/>
        <w:rPr>
          <w:rFonts w:eastAsia="楷体_GB2312"/>
          <w:szCs w:val="32"/>
        </w:rPr>
      </w:pPr>
      <w:r>
        <w:rPr>
          <w:rFonts w:eastAsia="楷体_GB2312"/>
          <w:szCs w:val="32"/>
        </w:rPr>
        <w:t>（二）民族地区包虫病主要流行区精准防控策略、人群防控成效指标评估及病人管理技术研发。</w:t>
      </w:r>
    </w:p>
    <w:p>
      <w:pPr>
        <w:spacing w:line="560" w:lineRule="exact"/>
        <w:ind w:firstLine="627"/>
        <w:rPr>
          <w:kern w:val="0"/>
          <w:szCs w:val="32"/>
        </w:rPr>
      </w:pPr>
      <w:r>
        <w:rPr>
          <w:kern w:val="0"/>
          <w:szCs w:val="32"/>
        </w:rPr>
        <w:t>研究四川省包虫病主要流行区（如石渠县等）中间宿主棘球绦虫持续感染状态下，人群居住环境中包虫病患病的行为、宿主及环境虫卵污染风险因素，获得居住点的种类特点、风险因素、精准防控策略以及达到防控效果最低驱虫覆盖率；研究多房棘球绦虫宿主感染、时空分布及迁移、传播能力及趋势，宿主、病原溯源分子生物学技术及宿主精准防控措施；小学儿童包虫病发病率作为防控成效评估指标的敏感性、可行性研究；研究基于手机app的包虫病病人管理、诊疗咨询、健康教育及传染源控制犬驱虫的藏汉双语系统开发和运行。</w:t>
      </w:r>
    </w:p>
    <w:p>
      <w:pPr>
        <w:spacing w:line="560" w:lineRule="exact"/>
        <w:ind w:firstLine="630"/>
        <w:rPr>
          <w:kern w:val="0"/>
          <w:szCs w:val="32"/>
        </w:rPr>
      </w:pPr>
      <w:r>
        <w:rPr>
          <w:b/>
          <w:kern w:val="0"/>
          <w:szCs w:val="32"/>
        </w:rPr>
        <w:t>有关说明：</w:t>
      </w:r>
      <w:r>
        <w:rPr>
          <w:kern w:val="0"/>
          <w:szCs w:val="32"/>
        </w:rPr>
        <w:t>支持项目1</w:t>
      </w:r>
      <w:r>
        <w:rPr>
          <w:szCs w:val="32"/>
        </w:rPr>
        <w:t>项</w:t>
      </w:r>
      <w:r>
        <w:rPr>
          <w:kern w:val="0"/>
          <w:szCs w:val="32"/>
        </w:rPr>
        <w:t>，支持经费不超过100万元，实施周期3年。要求牵头单位具有广泛的国际合作经历，长期从事包虫病科研工作，对高度流行区包虫病有深厚的研究基础。</w:t>
      </w:r>
    </w:p>
    <w:p>
      <w:pPr>
        <w:spacing w:line="560" w:lineRule="exact"/>
        <w:ind w:firstLine="630"/>
        <w:rPr>
          <w:rFonts w:eastAsia="楷体_GB2312"/>
          <w:szCs w:val="32"/>
        </w:rPr>
      </w:pPr>
      <w:r>
        <w:rPr>
          <w:rFonts w:eastAsia="楷体_GB2312"/>
          <w:szCs w:val="32"/>
        </w:rPr>
        <w:t>（三）糖耐量异常优化防治方案的关键技术研究。</w:t>
      </w:r>
    </w:p>
    <w:p>
      <w:pPr>
        <w:spacing w:line="560" w:lineRule="exact"/>
        <w:ind w:firstLine="627"/>
        <w:rPr>
          <w:kern w:val="0"/>
          <w:szCs w:val="32"/>
        </w:rPr>
      </w:pPr>
      <w:r>
        <w:rPr>
          <w:kern w:val="0"/>
          <w:szCs w:val="32"/>
        </w:rPr>
        <w:t>通过多中心临床队列研究，建立临床资料、血样本、肠道菌群数据库，研究糖耐量异常的临床亚型特征、危险因素和关键机制；研究影响糖耐量异常转归的关键因素和机制，并建立不同亚型的预测模型；针对不同的发病机制、危险因素和预后转归制定优化的防治方案，制定可行的防治规范。建立多中心的临床资料、血标本、肠道菌群数据库至少各一个；建立预测模型至少一个；制定可行性的优化管理方案。</w:t>
      </w:r>
    </w:p>
    <w:p>
      <w:pPr>
        <w:spacing w:line="560" w:lineRule="exact"/>
        <w:ind w:firstLine="630"/>
        <w:rPr>
          <w:kern w:val="0"/>
          <w:szCs w:val="32"/>
        </w:rPr>
      </w:pPr>
      <w:r>
        <w:rPr>
          <w:b/>
          <w:kern w:val="0"/>
          <w:szCs w:val="32"/>
        </w:rPr>
        <w:t>有关说明：</w:t>
      </w:r>
      <w:r>
        <w:rPr>
          <w:kern w:val="0"/>
          <w:szCs w:val="32"/>
        </w:rPr>
        <w:t>支持项目1</w:t>
      </w:r>
      <w:r>
        <w:rPr>
          <w:szCs w:val="32"/>
        </w:rPr>
        <w:t>项</w:t>
      </w:r>
      <w:r>
        <w:rPr>
          <w:kern w:val="0"/>
          <w:szCs w:val="32"/>
        </w:rPr>
        <w:t>，支持经费不超过100万元，实施周期2年。要求牵头单位具有国家级重点专科的研究水平。</w:t>
      </w:r>
    </w:p>
    <w:p>
      <w:pPr>
        <w:spacing w:line="560" w:lineRule="exact"/>
        <w:ind w:firstLine="630"/>
        <w:rPr>
          <w:rFonts w:eastAsia="楷体_GB2312"/>
          <w:szCs w:val="32"/>
        </w:rPr>
      </w:pPr>
      <w:r>
        <w:rPr>
          <w:rFonts w:eastAsia="楷体_GB2312"/>
          <w:szCs w:val="32"/>
        </w:rPr>
        <w:t>（四）慢阻肺医联体院外照护模式的建立和应用示范。</w:t>
      </w:r>
    </w:p>
    <w:p>
      <w:pPr>
        <w:spacing w:line="560" w:lineRule="exact"/>
        <w:ind w:firstLine="627"/>
        <w:rPr>
          <w:kern w:val="0"/>
          <w:szCs w:val="32"/>
        </w:rPr>
      </w:pPr>
      <w:r>
        <w:rPr>
          <w:kern w:val="0"/>
          <w:szCs w:val="32"/>
        </w:rPr>
        <w:t>建立我国西部地区适宜慢阻肺院外照护模式，选择有代表性的医联体签约社区医院，对患者急性加重后恢复期和疾病稳定期进行规范化的管理；制定慢阻肺院外照护技术方案及规范，建立医联体间患者双向转诊以及分级管理的标准化流程；对医联体社区卫生人员进行慢性气道疾病院外照护多学科知识培训和落地实施；对社区所管理的慢性气道疾病患者和高危人群患病风险因素进行严密监测，实时评价及综合干预，包括危险因素干预、规范化药物治疗、肺康复训练、临床营养支持、社会心理康复以及提高患者的自我管理能力，完善慢阻肺急性加重的分级预防。通过应用示范，提高患者生存质量，减少疾病负担，降低病死率。</w:t>
      </w:r>
    </w:p>
    <w:p>
      <w:pPr>
        <w:spacing w:line="560" w:lineRule="exact"/>
        <w:ind w:firstLine="627"/>
        <w:rPr>
          <w:kern w:val="0"/>
          <w:szCs w:val="32"/>
        </w:rPr>
      </w:pPr>
      <w:r>
        <w:rPr>
          <w:b/>
          <w:kern w:val="0"/>
          <w:szCs w:val="32"/>
        </w:rPr>
        <w:t>有关说明：</w:t>
      </w:r>
      <w:r>
        <w:rPr>
          <w:kern w:val="0"/>
          <w:szCs w:val="32"/>
        </w:rPr>
        <w:t>支持项目1</w:t>
      </w:r>
      <w:r>
        <w:rPr>
          <w:szCs w:val="32"/>
        </w:rPr>
        <w:t>项</w:t>
      </w:r>
      <w:r>
        <w:rPr>
          <w:kern w:val="0"/>
          <w:szCs w:val="32"/>
        </w:rPr>
        <w:t>，申报经费不超过200万元，实施周期2年。要求牵头单位具有国家级临床重点专科水平，已建立医联体联盟，具备开展规模化临床研究的经验。</w:t>
      </w:r>
    </w:p>
    <w:p>
      <w:pPr>
        <w:spacing w:line="560" w:lineRule="exact"/>
        <w:ind w:firstLine="630"/>
        <w:rPr>
          <w:rFonts w:eastAsia="楷体_GB2312"/>
          <w:szCs w:val="32"/>
        </w:rPr>
      </w:pPr>
      <w:r>
        <w:rPr>
          <w:rFonts w:eastAsia="楷体_GB2312"/>
          <w:szCs w:val="32"/>
        </w:rPr>
        <w:t>（五）大数据智能医疗管理决策模式与应用示范研究。</w:t>
      </w:r>
    </w:p>
    <w:p>
      <w:pPr>
        <w:spacing w:line="560" w:lineRule="exact"/>
        <w:ind w:firstLine="627"/>
        <w:rPr>
          <w:kern w:val="0"/>
          <w:szCs w:val="32"/>
        </w:rPr>
      </w:pPr>
      <w:r>
        <w:rPr>
          <w:kern w:val="0"/>
          <w:szCs w:val="32"/>
        </w:rPr>
        <w:t>开展基于健康医疗大数据的科学决策研究，通过数据分析与建模等方法，集中研究几个严重影响居民健康的重大慢性疾病（心脑血管疾病、恶性肿瘤、内分泌系统疾病、肾脏系统疾病、骨骼及精神病）的临床辅助诊疗决策体系及运用示范。运用卫生经济学评价方法优化临床诊疗路径、探索创新型的医院管理运营模式、跟踪与评价卫生及医保政策。通过数据驱动的分析、研究和评价，带动临床诊疗决策体系变革，促进医院管理模式创新，为医保支付制度的改革及卫生医保政策的修订提供理论依据。</w:t>
      </w:r>
    </w:p>
    <w:p>
      <w:pPr>
        <w:spacing w:line="560" w:lineRule="exact"/>
        <w:ind w:firstLine="630"/>
        <w:rPr>
          <w:kern w:val="0"/>
          <w:szCs w:val="32"/>
        </w:rPr>
      </w:pPr>
      <w:r>
        <w:rPr>
          <w:b/>
          <w:kern w:val="0"/>
          <w:szCs w:val="32"/>
        </w:rPr>
        <w:t>有关说明：</w:t>
      </w:r>
      <w:r>
        <w:rPr>
          <w:kern w:val="0"/>
          <w:szCs w:val="32"/>
        </w:rPr>
        <w:t>支持项目1</w:t>
      </w:r>
      <w:r>
        <w:rPr>
          <w:szCs w:val="32"/>
        </w:rPr>
        <w:t>项</w:t>
      </w:r>
      <w:r>
        <w:rPr>
          <w:kern w:val="0"/>
          <w:szCs w:val="32"/>
        </w:rPr>
        <w:t>，支持经费不超过100万元，实施周期3年。牵头单位具有临床、卫生行政、医保、环境、社会行为等大数据资源，承担过省级及以上医疗大数据研究项目。</w:t>
      </w:r>
    </w:p>
    <w:p>
      <w:pPr>
        <w:spacing w:line="560" w:lineRule="exact"/>
        <w:ind w:firstLine="630"/>
        <w:rPr>
          <w:rFonts w:eastAsia="楷体_GB2312"/>
          <w:szCs w:val="32"/>
        </w:rPr>
      </w:pPr>
      <w:r>
        <w:rPr>
          <w:rFonts w:eastAsia="楷体_GB2312"/>
          <w:szCs w:val="32"/>
        </w:rPr>
        <w:t>（六）恶性肿瘤颅内转移的精准医疗研究。</w:t>
      </w:r>
    </w:p>
    <w:p>
      <w:pPr>
        <w:spacing w:line="560" w:lineRule="exact"/>
        <w:ind w:firstLine="640" w:firstLineChars="200"/>
        <w:rPr>
          <w:kern w:val="0"/>
          <w:szCs w:val="32"/>
        </w:rPr>
      </w:pPr>
      <w:r>
        <w:rPr>
          <w:kern w:val="0"/>
          <w:szCs w:val="32"/>
        </w:rPr>
        <w:t>支持基于肿瘤转移的分子生物学机制建立恶性肿瘤颅内转移的精准立体定向放射外科治疗和精准CAR-T细胞免疫治疗联合的规范化系统方案研究，研究其对颅内转移的恶性肿瘤患者的无进展时间和总生存期、生活质量的影响，联合治疗增加疗效，延长颅内转移的恶性肿瘤患者的无进展生存时间和总生存期，提高其生活质量。</w:t>
      </w:r>
    </w:p>
    <w:p>
      <w:pPr>
        <w:spacing w:line="560" w:lineRule="exact"/>
        <w:ind w:firstLine="630"/>
        <w:rPr>
          <w:kern w:val="0"/>
          <w:szCs w:val="32"/>
        </w:rPr>
      </w:pPr>
      <w:r>
        <w:rPr>
          <w:b/>
          <w:kern w:val="0"/>
          <w:szCs w:val="32"/>
        </w:rPr>
        <w:t>有关说明：</w:t>
      </w:r>
      <w:r>
        <w:rPr>
          <w:kern w:val="0"/>
          <w:szCs w:val="32"/>
        </w:rPr>
        <w:t>支持项目1</w:t>
      </w:r>
      <w:r>
        <w:rPr>
          <w:szCs w:val="32"/>
        </w:rPr>
        <w:t>项</w:t>
      </w:r>
      <w:r>
        <w:rPr>
          <w:kern w:val="0"/>
          <w:szCs w:val="32"/>
        </w:rPr>
        <w:t>，支持经费不超过100万元，实施周期2年。申报单位具有丰富的临床经验，具有恶性肿瘤颅内转移治疗经验和前期研究基础。</w:t>
      </w:r>
    </w:p>
    <w:p>
      <w:pPr>
        <w:spacing w:line="560" w:lineRule="exact"/>
        <w:ind w:firstLine="630"/>
        <w:rPr>
          <w:rFonts w:eastAsia="楷体_GB2312"/>
          <w:szCs w:val="32"/>
        </w:rPr>
      </w:pPr>
      <w:r>
        <w:rPr>
          <w:rFonts w:eastAsia="楷体_GB2312"/>
          <w:szCs w:val="32"/>
        </w:rPr>
        <w:t>（七）盆底微创诊疗适宜技术临床大数据信息系统的研发与应用。</w:t>
      </w:r>
    </w:p>
    <w:p>
      <w:pPr>
        <w:spacing w:line="560" w:lineRule="exact"/>
        <w:ind w:firstLine="627"/>
        <w:rPr>
          <w:kern w:val="0"/>
          <w:szCs w:val="32"/>
        </w:rPr>
      </w:pPr>
      <w:r>
        <w:rPr>
          <w:kern w:val="0"/>
          <w:szCs w:val="32"/>
        </w:rPr>
        <w:t>重点研发利用“互联网+医疗”技术构建完善的盆底微创诊疗数据库标准平台，实现我省乃至西南地区的多中心联盟医疗单位的医患大数据整合和共享；通过“云计算”技术和移动信息技术，采集患者的数据反馈，挖掘并分析盆底肛门疾病临床大数据的价值，评价基层医疗机构对盆底微创诊疗适宜技术的依从性及社会效益，帮助指导并改善基层医疗机构的临床诊断和治疗措施，提高“分级诊疗”和核心医疗单位的优质医疗资源下沉效率。</w:t>
      </w:r>
    </w:p>
    <w:p>
      <w:pPr>
        <w:spacing w:line="560" w:lineRule="exact"/>
        <w:ind w:firstLine="630"/>
        <w:rPr>
          <w:kern w:val="0"/>
          <w:szCs w:val="32"/>
        </w:rPr>
      </w:pPr>
      <w:r>
        <w:rPr>
          <w:b/>
          <w:kern w:val="0"/>
          <w:szCs w:val="32"/>
        </w:rPr>
        <w:t>有关说明：</w:t>
      </w:r>
      <w:r>
        <w:rPr>
          <w:kern w:val="0"/>
          <w:szCs w:val="32"/>
        </w:rPr>
        <w:t>支持项目1</w:t>
      </w:r>
      <w:r>
        <w:rPr>
          <w:szCs w:val="32"/>
        </w:rPr>
        <w:t>项</w:t>
      </w:r>
      <w:r>
        <w:rPr>
          <w:kern w:val="0"/>
          <w:szCs w:val="32"/>
        </w:rPr>
        <w:t>，支持经费不超过100万元；实施周期3年。</w:t>
      </w:r>
    </w:p>
    <w:p>
      <w:pPr>
        <w:spacing w:line="560" w:lineRule="exact"/>
        <w:ind w:firstLine="630"/>
        <w:rPr>
          <w:b/>
          <w:szCs w:val="32"/>
        </w:rPr>
      </w:pPr>
      <w:r>
        <w:rPr>
          <w:rFonts w:eastAsia="楷体_GB2312"/>
          <w:szCs w:val="32"/>
        </w:rPr>
        <w:t>（八）糖尿病胰岛细胞精准移植。</w:t>
      </w:r>
    </w:p>
    <w:p>
      <w:pPr>
        <w:spacing w:line="560" w:lineRule="exact"/>
        <w:ind w:firstLine="627"/>
        <w:rPr>
          <w:kern w:val="0"/>
          <w:szCs w:val="32"/>
        </w:rPr>
      </w:pPr>
      <w:r>
        <w:rPr>
          <w:kern w:val="0"/>
          <w:szCs w:val="32"/>
        </w:rPr>
        <w:t>整合免疫策略和非免疫策略，优化临床胰岛细胞移植方案，以提升移植胰岛细胞的长期存活和功能稳定，重建部分患者对胰岛的自身耐受；研究胰岛移植治疗疗效和安全性，进行胰岛细胞移植治疗的预后分析和预测因素评判，制定糖尿病胰岛细胞精准移植的行业标准及临床路径；优化胰岛移植临床操作路径，在糖尿病的不同阶段对胰岛细胞移植的方案进行优化，建立国内“同种异体胰岛移植治疗糖尿病”的临床专家共识及临床基地；建立多层次精准免疫监控和预测模型。优化免疫监测方案，评估胰岛移植的疗效；搭建糖尿病胰岛细胞移植治疗和免疫监测合作平台。</w:t>
      </w:r>
    </w:p>
    <w:p>
      <w:pPr>
        <w:spacing w:line="560" w:lineRule="exact"/>
        <w:ind w:firstLine="630"/>
        <w:rPr>
          <w:kern w:val="0"/>
          <w:szCs w:val="32"/>
        </w:rPr>
      </w:pPr>
      <w:r>
        <w:rPr>
          <w:b/>
          <w:kern w:val="0"/>
          <w:szCs w:val="32"/>
        </w:rPr>
        <w:t>有关说明：</w:t>
      </w:r>
      <w:r>
        <w:rPr>
          <w:kern w:val="0"/>
          <w:szCs w:val="32"/>
        </w:rPr>
        <w:t>支持项目1</w:t>
      </w:r>
      <w:r>
        <w:rPr>
          <w:szCs w:val="32"/>
        </w:rPr>
        <w:t>项</w:t>
      </w:r>
      <w:r>
        <w:rPr>
          <w:kern w:val="0"/>
          <w:szCs w:val="32"/>
        </w:rPr>
        <w:t>，支持经费不超过100万元，实施周期3年。要求牵头单位建有器官移植及胰岛细胞移植省医学重点学科，有深厚的研究基础。</w:t>
      </w:r>
    </w:p>
    <w:p>
      <w:pPr>
        <w:widowControl/>
        <w:spacing w:line="560" w:lineRule="exact"/>
        <w:ind w:firstLine="630"/>
        <w:rPr>
          <w:rFonts w:eastAsia="黑体"/>
          <w:szCs w:val="32"/>
        </w:rPr>
      </w:pPr>
      <w:bookmarkStart w:id="0" w:name="_Toc30227"/>
      <w:r>
        <w:rPr>
          <w:rFonts w:eastAsia="黑体"/>
          <w:szCs w:val="32"/>
        </w:rPr>
        <w:t>五、页岩气产业</w:t>
      </w:r>
      <w:bookmarkEnd w:id="0"/>
    </w:p>
    <w:p>
      <w:pPr>
        <w:spacing w:line="560" w:lineRule="exact"/>
        <w:ind w:firstLine="630"/>
        <w:rPr>
          <w:rFonts w:eastAsia="楷体_GB2312"/>
          <w:szCs w:val="32"/>
        </w:rPr>
      </w:pPr>
      <w:bookmarkStart w:id="1" w:name="_Toc15643"/>
      <w:r>
        <w:rPr>
          <w:rFonts w:eastAsia="楷体_GB2312"/>
          <w:szCs w:val="32"/>
        </w:rPr>
        <w:t>（一）四川盆地及边缘古生代页岩气资源潜力评价</w:t>
      </w:r>
      <w:bookmarkEnd w:id="1"/>
      <w:r>
        <w:rPr>
          <w:rFonts w:eastAsia="楷体_GB2312"/>
          <w:szCs w:val="32"/>
        </w:rPr>
        <w:t>。</w:t>
      </w:r>
    </w:p>
    <w:p>
      <w:pPr>
        <w:adjustRightInd w:val="0"/>
        <w:snapToGrid w:val="0"/>
        <w:spacing w:line="560" w:lineRule="exact"/>
        <w:ind w:firstLine="640" w:firstLineChars="200"/>
        <w:rPr>
          <w:kern w:val="0"/>
          <w:szCs w:val="32"/>
        </w:rPr>
      </w:pPr>
      <w:r>
        <w:rPr>
          <w:kern w:val="0"/>
          <w:szCs w:val="32"/>
        </w:rPr>
        <w:t>针对四川盆地及边缘地区古生代地层构造改造强烈，页岩含气性变化大、储层非均质性强、页岩气富集规律不清的问题，开展四川盆地及边缘区古生代页岩气富集规律及资源潜力评价研究，形成符合四川盆地及边缘页岩气资源潜力评价、有利区优选的方法技术，建立四川盆地及边缘古生代页岩气的刻度区和资源评价数据库；深化古生代页岩气成藏规律认识，完善不同地质背景古生代页岩气成藏地质理论等两大方面的成果。</w:t>
      </w:r>
    </w:p>
    <w:p>
      <w:pPr>
        <w:adjustRightInd w:val="0"/>
        <w:snapToGrid w:val="0"/>
        <w:spacing w:line="560" w:lineRule="exact"/>
        <w:ind w:firstLine="640" w:firstLineChars="200"/>
        <w:rPr>
          <w:kern w:val="0"/>
          <w:szCs w:val="32"/>
        </w:rPr>
      </w:pPr>
      <w:r>
        <w:rPr>
          <w:kern w:val="0"/>
          <w:szCs w:val="32"/>
        </w:rPr>
        <w:t>有关说明：支持项目1</w:t>
      </w:r>
      <w:r>
        <w:rPr>
          <w:szCs w:val="32"/>
        </w:rPr>
        <w:t>项</w:t>
      </w:r>
      <w:r>
        <w:rPr>
          <w:kern w:val="0"/>
          <w:szCs w:val="32"/>
        </w:rPr>
        <w:t>，支持经费不超过100万元，实施周期2年。</w:t>
      </w:r>
    </w:p>
    <w:p>
      <w:pPr>
        <w:spacing w:line="560" w:lineRule="exact"/>
        <w:ind w:firstLine="630"/>
        <w:rPr>
          <w:rFonts w:eastAsia="楷体_GB2312"/>
          <w:szCs w:val="32"/>
        </w:rPr>
      </w:pPr>
      <w:bookmarkStart w:id="2" w:name="_Toc28232"/>
      <w:r>
        <w:rPr>
          <w:rFonts w:eastAsia="楷体_GB2312"/>
          <w:szCs w:val="32"/>
        </w:rPr>
        <w:t>（二）典型岩溶区页岩气勘查开发区地下水系统关键监测技术示范研究</w:t>
      </w:r>
      <w:bookmarkEnd w:id="2"/>
      <w:r>
        <w:rPr>
          <w:rFonts w:eastAsia="楷体_GB2312"/>
          <w:szCs w:val="32"/>
        </w:rPr>
        <w:t>。</w:t>
      </w:r>
    </w:p>
    <w:p>
      <w:pPr>
        <w:adjustRightInd w:val="0"/>
        <w:snapToGrid w:val="0"/>
        <w:spacing w:line="560" w:lineRule="exact"/>
        <w:ind w:firstLine="640" w:firstLineChars="200"/>
        <w:rPr>
          <w:kern w:val="0"/>
          <w:szCs w:val="32"/>
        </w:rPr>
      </w:pPr>
      <w:r>
        <w:rPr>
          <w:kern w:val="0"/>
          <w:szCs w:val="32"/>
        </w:rPr>
        <w:t>针对川东南及重庆等页岩气勘查开发区，研究页岩气开发活动与岩溶发育规律、地下水系统发育的关系，提出适用于此类地区（岩溶地区）的地下水监测技术，以期能够及时发现因页岩气勘探、施工、开采等开发活动而引发地下水污染及水量衰减等系统衰退情况，较好地指导地下水环境保护和管理，保障页岩气无害开发，保护生态环境质量。</w:t>
      </w:r>
    </w:p>
    <w:p>
      <w:pPr>
        <w:adjustRightInd w:val="0"/>
        <w:snapToGrid w:val="0"/>
        <w:spacing w:line="560" w:lineRule="exact"/>
        <w:ind w:firstLine="641" w:firstLineChars="200"/>
        <w:rPr>
          <w:kern w:val="0"/>
          <w:szCs w:val="32"/>
        </w:rPr>
      </w:pPr>
      <w:r>
        <w:rPr>
          <w:b/>
          <w:bCs/>
          <w:kern w:val="0"/>
          <w:szCs w:val="32"/>
        </w:rPr>
        <w:t>有关说明：</w:t>
      </w:r>
      <w:r>
        <w:rPr>
          <w:kern w:val="0"/>
          <w:szCs w:val="32"/>
        </w:rPr>
        <w:t>支持项目1</w:t>
      </w:r>
      <w:r>
        <w:rPr>
          <w:szCs w:val="32"/>
        </w:rPr>
        <w:t>项</w:t>
      </w:r>
      <w:r>
        <w:rPr>
          <w:kern w:val="0"/>
          <w:szCs w:val="32"/>
        </w:rPr>
        <w:t>，支持经费不超过100万，实施周期2年。</w:t>
      </w:r>
    </w:p>
    <w:p>
      <w:pPr>
        <w:widowControl/>
        <w:spacing w:line="560" w:lineRule="exact"/>
        <w:ind w:firstLine="630"/>
        <w:rPr>
          <w:rFonts w:eastAsia="黑体"/>
          <w:szCs w:val="32"/>
        </w:rPr>
      </w:pPr>
      <w:bookmarkStart w:id="3" w:name="_Toc24545"/>
      <w:r>
        <w:rPr>
          <w:rFonts w:eastAsia="黑体"/>
          <w:szCs w:val="32"/>
        </w:rPr>
        <w:t>六、资源保护与综合利用</w:t>
      </w:r>
      <w:bookmarkEnd w:id="3"/>
    </w:p>
    <w:p>
      <w:pPr>
        <w:spacing w:line="560" w:lineRule="exact"/>
        <w:ind w:firstLine="630"/>
        <w:rPr>
          <w:rFonts w:eastAsia="楷体_GB2312"/>
          <w:szCs w:val="32"/>
        </w:rPr>
      </w:pPr>
      <w:bookmarkStart w:id="4" w:name="_Toc21719"/>
      <w:r>
        <w:rPr>
          <w:rFonts w:eastAsia="楷体_GB2312"/>
          <w:szCs w:val="32"/>
        </w:rPr>
        <w:t>（一）四川省自然资源资产管理平台研究与应用示范</w:t>
      </w:r>
      <w:bookmarkEnd w:id="4"/>
      <w:r>
        <w:rPr>
          <w:rFonts w:eastAsia="楷体_GB2312"/>
          <w:szCs w:val="32"/>
        </w:rPr>
        <w:t>。</w:t>
      </w:r>
    </w:p>
    <w:p>
      <w:pPr>
        <w:adjustRightInd w:val="0"/>
        <w:snapToGrid w:val="0"/>
        <w:spacing w:line="560" w:lineRule="exact"/>
        <w:ind w:firstLine="640" w:firstLineChars="200"/>
        <w:rPr>
          <w:kern w:val="0"/>
          <w:szCs w:val="32"/>
        </w:rPr>
      </w:pPr>
      <w:r>
        <w:rPr>
          <w:kern w:val="0"/>
          <w:szCs w:val="32"/>
        </w:rPr>
        <w:t>重点研究自然资源价值核算、资源资产账户构建与更新、区域自然资源资产负债表编制、资源资产管理绩效评估等技术方法和指标体系，整合土地、森林、水资源等行业分类资源数据，初步建立自然资源资产基础账户数字化平台；通过试点，集成资产价值量化核算、区域资源环境承载力评价等关键技术，在自然资源资产离任审计、管理绩效评估等领域开展应用。</w:t>
      </w:r>
    </w:p>
    <w:p>
      <w:pPr>
        <w:adjustRightInd w:val="0"/>
        <w:snapToGrid w:val="0"/>
        <w:spacing w:line="560" w:lineRule="exact"/>
        <w:ind w:firstLine="641" w:firstLineChars="200"/>
        <w:rPr>
          <w:kern w:val="0"/>
          <w:szCs w:val="32"/>
        </w:rPr>
      </w:pPr>
      <w:r>
        <w:rPr>
          <w:b/>
          <w:kern w:val="0"/>
          <w:szCs w:val="32"/>
        </w:rPr>
        <w:t>有关说明：</w:t>
      </w:r>
      <w:r>
        <w:rPr>
          <w:kern w:val="0"/>
          <w:szCs w:val="32"/>
        </w:rPr>
        <w:t>要求与自然资源资产相关研究单位联合申报，支持项目1</w:t>
      </w:r>
      <w:r>
        <w:rPr>
          <w:szCs w:val="32"/>
        </w:rPr>
        <w:t>项</w:t>
      </w:r>
      <w:r>
        <w:rPr>
          <w:kern w:val="0"/>
          <w:szCs w:val="32"/>
        </w:rPr>
        <w:t>，支持经费不超过100万元，实施周期2年。</w:t>
      </w:r>
    </w:p>
    <w:p>
      <w:pPr>
        <w:spacing w:line="560" w:lineRule="exact"/>
        <w:ind w:firstLine="630"/>
        <w:rPr>
          <w:rFonts w:eastAsia="楷体_GB2312"/>
          <w:szCs w:val="32"/>
        </w:rPr>
      </w:pPr>
      <w:bookmarkStart w:id="5" w:name="_Toc5295"/>
      <w:r>
        <w:rPr>
          <w:rFonts w:eastAsia="楷体_GB2312"/>
          <w:szCs w:val="32"/>
        </w:rPr>
        <w:t>（二）珍稀古树种群重建关键技术研究与示范</w:t>
      </w:r>
      <w:bookmarkEnd w:id="5"/>
      <w:r>
        <w:rPr>
          <w:rFonts w:eastAsia="楷体_GB2312"/>
          <w:szCs w:val="32"/>
        </w:rPr>
        <w:t>。</w:t>
      </w:r>
    </w:p>
    <w:p>
      <w:pPr>
        <w:adjustRightInd w:val="0"/>
        <w:snapToGrid w:val="0"/>
        <w:spacing w:line="560" w:lineRule="exact"/>
        <w:ind w:firstLine="640" w:firstLineChars="200"/>
        <w:rPr>
          <w:kern w:val="0"/>
          <w:szCs w:val="32"/>
        </w:rPr>
      </w:pPr>
      <w:r>
        <w:rPr>
          <w:kern w:val="0"/>
          <w:szCs w:val="32"/>
        </w:rPr>
        <w:t>以我省重要珍稀古树为对象，开展种群分布现状调查与种质资源收集保存；遴选优质种源，研究人工繁殖、栽培管理、野外抚育等技术体系，复壮珍稀古树种群数量；研究珍稀古树群落生态环境保护和重建技术、天然林保护与修复技术，建立珍稀古树种群重建关键技术体系；开展试点示范。</w:t>
      </w:r>
    </w:p>
    <w:p>
      <w:pPr>
        <w:adjustRightInd w:val="0"/>
        <w:snapToGrid w:val="0"/>
        <w:spacing w:line="560" w:lineRule="exact"/>
        <w:ind w:firstLine="641" w:firstLineChars="200"/>
        <w:rPr>
          <w:kern w:val="0"/>
          <w:szCs w:val="32"/>
        </w:rPr>
      </w:pPr>
      <w:r>
        <w:rPr>
          <w:b/>
          <w:bCs/>
          <w:kern w:val="0"/>
          <w:szCs w:val="32"/>
        </w:rPr>
        <w:t>有关说明：</w:t>
      </w:r>
      <w:r>
        <w:rPr>
          <w:kern w:val="0"/>
          <w:szCs w:val="32"/>
        </w:rPr>
        <w:t>支持项目1</w:t>
      </w:r>
      <w:r>
        <w:rPr>
          <w:szCs w:val="32"/>
        </w:rPr>
        <w:t>项</w:t>
      </w:r>
      <w:r>
        <w:rPr>
          <w:kern w:val="0"/>
          <w:szCs w:val="32"/>
        </w:rPr>
        <w:t>，支持经费不超过100万元，实施周期2年。鼓励产学研联合申报。</w:t>
      </w:r>
    </w:p>
    <w:p>
      <w:pPr>
        <w:spacing w:line="560" w:lineRule="exact"/>
        <w:ind w:firstLine="630"/>
        <w:rPr>
          <w:rFonts w:eastAsia="楷体_GB2312"/>
          <w:szCs w:val="32"/>
        </w:rPr>
      </w:pPr>
      <w:bookmarkStart w:id="6" w:name="_Toc16416"/>
      <w:r>
        <w:rPr>
          <w:rFonts w:eastAsia="楷体_GB2312"/>
          <w:szCs w:val="32"/>
        </w:rPr>
        <w:t>（三）野生珍稀名贵生物资源收集保存及基因库建设。</w:t>
      </w:r>
    </w:p>
    <w:p>
      <w:pPr>
        <w:adjustRightInd w:val="0"/>
        <w:snapToGrid w:val="0"/>
        <w:spacing w:line="560" w:lineRule="exact"/>
        <w:ind w:firstLine="640" w:firstLineChars="200"/>
        <w:rPr>
          <w:kern w:val="0"/>
          <w:szCs w:val="32"/>
        </w:rPr>
      </w:pPr>
      <w:r>
        <w:rPr>
          <w:kern w:val="0"/>
          <w:szCs w:val="32"/>
        </w:rPr>
        <w:t>针对我省野生珍稀名贵生物资源逐步减少的现状，为珍稀名贵生物育种提供更多可供开发利用优质育种材料，系统开展珍稀名贵生物资源的收集及保存，分类别建立珍稀名贵生物资源基因库。收集野生珍稀名贵生物资源2000份以上，建立野生种质资源保存圃50亩；开展野生种质资源的整理、评价与鉴定研究，创制骨干育种新材料100份以上，发掘优质、高产、抗性功能基因材料50份以上，推动野生珍稀名贵生物品种的保护及产业化。</w:t>
      </w:r>
    </w:p>
    <w:p>
      <w:pPr>
        <w:widowControl/>
        <w:spacing w:line="560" w:lineRule="exact"/>
        <w:ind w:firstLine="630"/>
        <w:rPr>
          <w:kern w:val="0"/>
          <w:szCs w:val="32"/>
        </w:rPr>
      </w:pPr>
      <w:r>
        <w:rPr>
          <w:kern w:val="0"/>
          <w:szCs w:val="32"/>
        </w:rPr>
        <w:t xml:space="preserve">有关说明：支持项目1项，支持经费不超过100万元，实施周期2年，支持科研院所牵头、产学研联合申报，自筹经费与申请经费比例不低于1:1。 </w:t>
      </w:r>
    </w:p>
    <w:bookmarkEnd w:id="6"/>
    <w:p>
      <w:pPr>
        <w:spacing w:line="560" w:lineRule="exact"/>
        <w:ind w:firstLine="630"/>
        <w:rPr>
          <w:rFonts w:eastAsia="楷体_GB2312"/>
          <w:szCs w:val="32"/>
        </w:rPr>
      </w:pPr>
      <w:bookmarkStart w:id="7" w:name="_Toc1043"/>
      <w:r>
        <w:rPr>
          <w:rFonts w:eastAsia="楷体_GB2312"/>
          <w:szCs w:val="32"/>
        </w:rPr>
        <w:t>（四）川西锂矿大型能源资源基地成矿关键技术研究与示范</w:t>
      </w:r>
      <w:bookmarkEnd w:id="7"/>
      <w:r>
        <w:rPr>
          <w:rFonts w:eastAsia="楷体_GB2312"/>
          <w:szCs w:val="32"/>
        </w:rPr>
        <w:t>。</w:t>
      </w:r>
    </w:p>
    <w:p>
      <w:pPr>
        <w:adjustRightInd w:val="0"/>
        <w:snapToGrid w:val="0"/>
        <w:spacing w:line="560" w:lineRule="exact"/>
        <w:ind w:firstLine="640" w:firstLineChars="200"/>
        <w:rPr>
          <w:kern w:val="0"/>
          <w:szCs w:val="32"/>
        </w:rPr>
      </w:pPr>
      <w:r>
        <w:rPr>
          <w:kern w:val="0"/>
          <w:szCs w:val="32"/>
        </w:rPr>
        <w:t>以川西锂矿资源富集区为研究对象，开展穹窿构造－岩浆－变质作用、成矿作用、矿床成因研究；运用勘查新方法、新技术、新装备，探索绿色勘查的方法技术组合；通过锂及共、伴生稀有金属组份分析方法和综合利用技术的研究，进一步提高资源综合利用水平。建立、完善甲基卡式伟晶岩型锂矿找矿预测综合模型、绿色勘查模型及综合利用方法体系。为川西地区甲基卡式伟晶岩型锂矿的找矿预测、绿色勘查及综合利用提供示范，进一步实现锂矿找矿突破，为有效推动锂矿大型能源资源基地建设提供技术支撑。</w:t>
      </w:r>
    </w:p>
    <w:p>
      <w:pPr>
        <w:adjustRightInd w:val="0"/>
        <w:snapToGrid w:val="0"/>
        <w:spacing w:line="560" w:lineRule="exact"/>
        <w:ind w:firstLine="641" w:firstLineChars="200"/>
        <w:rPr>
          <w:kern w:val="0"/>
          <w:szCs w:val="32"/>
        </w:rPr>
      </w:pPr>
      <w:r>
        <w:rPr>
          <w:b/>
          <w:bCs/>
          <w:kern w:val="0"/>
          <w:szCs w:val="32"/>
        </w:rPr>
        <w:t>有关说明：</w:t>
      </w:r>
      <w:r>
        <w:rPr>
          <w:kern w:val="0"/>
          <w:szCs w:val="32"/>
        </w:rPr>
        <w:t>支持项目1</w:t>
      </w:r>
      <w:r>
        <w:rPr>
          <w:szCs w:val="32"/>
        </w:rPr>
        <w:t>项</w:t>
      </w:r>
      <w:r>
        <w:rPr>
          <w:kern w:val="0"/>
          <w:szCs w:val="32"/>
        </w:rPr>
        <w:t>，支持经费不超过100万元，实施周期2年。鼓励产学研联合申报。</w:t>
      </w:r>
    </w:p>
    <w:p>
      <w:pPr>
        <w:spacing w:line="560" w:lineRule="exact"/>
        <w:ind w:firstLine="630"/>
        <w:rPr>
          <w:rFonts w:eastAsia="楷体_GB2312"/>
          <w:szCs w:val="32"/>
        </w:rPr>
      </w:pPr>
      <w:bookmarkStart w:id="8" w:name="_Toc4052"/>
      <w:r>
        <w:rPr>
          <w:rFonts w:eastAsia="楷体_GB2312"/>
          <w:szCs w:val="32"/>
        </w:rPr>
        <w:t>（五）铀矿田找矿预测关键技术与铀及共伴生元素综合利用研究</w:t>
      </w:r>
      <w:bookmarkEnd w:id="8"/>
      <w:r>
        <w:rPr>
          <w:rFonts w:eastAsia="楷体_GB2312"/>
          <w:szCs w:val="32"/>
        </w:rPr>
        <w:t>。</w:t>
      </w:r>
    </w:p>
    <w:p>
      <w:pPr>
        <w:adjustRightInd w:val="0"/>
        <w:snapToGrid w:val="0"/>
        <w:spacing w:line="560" w:lineRule="exact"/>
        <w:ind w:firstLine="640" w:firstLineChars="200"/>
        <w:rPr>
          <w:kern w:val="0"/>
          <w:szCs w:val="32"/>
        </w:rPr>
      </w:pPr>
      <w:r>
        <w:rPr>
          <w:kern w:val="0"/>
          <w:szCs w:val="32"/>
        </w:rPr>
        <w:t>针对铀矿整装勘查区找矿预测关键技术问题以及铀及共伴生元素综合利用过程中存在的问题，开展该地区铀矿的成矿作用、成矿规律、找矿预测及共伴生元素综合利用研究。利用新方法、新技术、新理论、新设备，开展铀矿深部矿体预测、建立铀矿田碳硅泥岩型铀矿三维深部找矿预测地质模型；开展矿石中共伴生元素种类、类型研究，进行矿石选冶实验，研究铀及共伴生元素的综合利用方法。形成一套铀矿田三维深部预测模型体系和铀与共伴生元素的综合利用方法组合，提高矿石的综合利用效率，提升矿床的经济价值。</w:t>
      </w:r>
    </w:p>
    <w:p>
      <w:pPr>
        <w:adjustRightInd w:val="0"/>
        <w:snapToGrid w:val="0"/>
        <w:spacing w:line="560" w:lineRule="exact"/>
        <w:ind w:firstLine="641" w:firstLineChars="200"/>
        <w:rPr>
          <w:kern w:val="0"/>
          <w:szCs w:val="32"/>
        </w:rPr>
      </w:pPr>
      <w:r>
        <w:rPr>
          <w:b/>
          <w:bCs/>
          <w:kern w:val="0"/>
          <w:szCs w:val="32"/>
        </w:rPr>
        <w:t>有关说明：</w:t>
      </w:r>
      <w:r>
        <w:rPr>
          <w:kern w:val="0"/>
          <w:szCs w:val="32"/>
        </w:rPr>
        <w:t>支持项目1</w:t>
      </w:r>
      <w:r>
        <w:rPr>
          <w:szCs w:val="32"/>
        </w:rPr>
        <w:t>项</w:t>
      </w:r>
      <w:r>
        <w:rPr>
          <w:kern w:val="0"/>
          <w:szCs w:val="32"/>
        </w:rPr>
        <w:t>，支持经费不超过100万元，实施周期2年。鼓励产学研联合申报。</w:t>
      </w:r>
    </w:p>
    <w:p>
      <w:pPr>
        <w:spacing w:line="560" w:lineRule="exact"/>
        <w:ind w:firstLine="630"/>
        <w:rPr>
          <w:rFonts w:eastAsia="楷体_GB2312"/>
          <w:szCs w:val="32"/>
        </w:rPr>
      </w:pPr>
      <w:bookmarkStart w:id="9" w:name="_Toc9847"/>
      <w:r>
        <w:rPr>
          <w:rFonts w:eastAsia="楷体_GB2312"/>
          <w:szCs w:val="32"/>
        </w:rPr>
        <w:t>（六）深部高温地热资源研究及技术应用</w:t>
      </w:r>
      <w:bookmarkEnd w:id="9"/>
      <w:r>
        <w:rPr>
          <w:rFonts w:eastAsia="楷体_GB2312"/>
          <w:szCs w:val="32"/>
        </w:rPr>
        <w:t>。</w:t>
      </w:r>
    </w:p>
    <w:p>
      <w:pPr>
        <w:adjustRightInd w:val="0"/>
        <w:snapToGrid w:val="0"/>
        <w:spacing w:line="560" w:lineRule="exact"/>
        <w:ind w:firstLine="640" w:firstLineChars="200"/>
        <w:rPr>
          <w:kern w:val="0"/>
          <w:szCs w:val="32"/>
        </w:rPr>
      </w:pPr>
      <w:r>
        <w:rPr>
          <w:kern w:val="0"/>
          <w:szCs w:val="32"/>
        </w:rPr>
        <w:t>响应国家能源发展号召及推动能源改革，针对川西高原深部高温地热资源，特别是高温地温场研究程度低而带状热储分布复杂、温度差异大的现象，选择1-2个代表性示范点开展深部地温场预测方法、分布模型研究,提出主要影响因素和关键技术问题，进行地热资源评价，形成一套研究深部地温场的理论、技术方法和创新成果，降低深钻、物探等高成本的投入，为区域地热资源综合利用开发提供理论、方法支撑，提升四川省研究深部高温地热资源的技术水平和能力。</w:t>
      </w:r>
    </w:p>
    <w:p>
      <w:pPr>
        <w:adjustRightInd w:val="0"/>
        <w:snapToGrid w:val="0"/>
        <w:spacing w:line="560" w:lineRule="exact"/>
        <w:ind w:firstLine="641" w:firstLineChars="200"/>
        <w:rPr>
          <w:kern w:val="0"/>
          <w:szCs w:val="32"/>
        </w:rPr>
      </w:pPr>
      <w:r>
        <w:rPr>
          <w:b/>
          <w:bCs/>
          <w:kern w:val="0"/>
          <w:szCs w:val="32"/>
        </w:rPr>
        <w:t>有关说明：</w:t>
      </w:r>
      <w:r>
        <w:rPr>
          <w:kern w:val="0"/>
          <w:szCs w:val="32"/>
        </w:rPr>
        <w:t>支持项目1</w:t>
      </w:r>
      <w:r>
        <w:rPr>
          <w:szCs w:val="32"/>
        </w:rPr>
        <w:t>项</w:t>
      </w:r>
      <w:r>
        <w:rPr>
          <w:kern w:val="0"/>
          <w:szCs w:val="32"/>
        </w:rPr>
        <w:t>，支持经费不超过100万元，实施周期2年。要求企业牵头，鼓励产学研联合申报，自筹经费与申请经费比例不低于1:1。</w:t>
      </w:r>
    </w:p>
    <w:p>
      <w:pPr>
        <w:widowControl/>
        <w:spacing w:line="560" w:lineRule="exact"/>
        <w:ind w:firstLine="630"/>
        <w:rPr>
          <w:rFonts w:eastAsia="黑体"/>
          <w:szCs w:val="32"/>
        </w:rPr>
      </w:pPr>
      <w:bookmarkStart w:id="10" w:name="_Toc25418"/>
      <w:r>
        <w:rPr>
          <w:rFonts w:eastAsia="黑体"/>
          <w:szCs w:val="32"/>
        </w:rPr>
        <w:t>七、</w:t>
      </w:r>
      <w:bookmarkEnd w:id="10"/>
      <w:r>
        <w:rPr>
          <w:rFonts w:hint="eastAsia" w:eastAsia="黑体"/>
          <w:szCs w:val="32"/>
        </w:rPr>
        <w:t>环境污染防治</w:t>
      </w:r>
      <w:r>
        <w:rPr>
          <w:rFonts w:eastAsia="黑体"/>
          <w:szCs w:val="32"/>
        </w:rPr>
        <w:t>“三大战役”</w:t>
      </w:r>
      <w:r>
        <w:rPr>
          <w:rFonts w:hint="eastAsia" w:eastAsia="黑体"/>
          <w:szCs w:val="32"/>
        </w:rPr>
        <w:t>及生态保护</w:t>
      </w:r>
    </w:p>
    <w:p>
      <w:pPr>
        <w:spacing w:line="560" w:lineRule="exact"/>
        <w:ind w:firstLine="630"/>
        <w:rPr>
          <w:rFonts w:eastAsia="楷体_GB2312"/>
          <w:szCs w:val="32"/>
        </w:rPr>
      </w:pPr>
      <w:bookmarkStart w:id="11" w:name="_Toc32217"/>
      <w:bookmarkStart w:id="12" w:name="_Toc10658"/>
      <w:r>
        <w:rPr>
          <w:rFonts w:eastAsia="楷体_GB2312"/>
          <w:szCs w:val="32"/>
        </w:rPr>
        <w:t>（一）环境治理</w:t>
      </w:r>
      <w:bookmarkEnd w:id="11"/>
      <w:bookmarkEnd w:id="12"/>
      <w:r>
        <w:rPr>
          <w:rFonts w:eastAsia="楷体_GB2312"/>
          <w:szCs w:val="32"/>
        </w:rPr>
        <w:t>。</w:t>
      </w:r>
      <w:bookmarkStart w:id="13" w:name="_Toc14462"/>
    </w:p>
    <w:p>
      <w:pPr>
        <w:spacing w:line="560" w:lineRule="exact"/>
        <w:ind w:firstLine="630"/>
        <w:rPr>
          <w:szCs w:val="32"/>
        </w:rPr>
      </w:pPr>
      <w:r>
        <w:rPr>
          <w:szCs w:val="32"/>
        </w:rPr>
        <w:t>1.重污染天气的预报预警技术研究</w:t>
      </w:r>
      <w:bookmarkEnd w:id="13"/>
      <w:r>
        <w:rPr>
          <w:szCs w:val="32"/>
        </w:rPr>
        <w:t>。</w:t>
      </w:r>
    </w:p>
    <w:p>
      <w:pPr>
        <w:snapToGrid w:val="0"/>
        <w:spacing w:line="560" w:lineRule="exact"/>
        <w:ind w:firstLine="640" w:firstLineChars="200"/>
        <w:rPr>
          <w:szCs w:val="32"/>
        </w:rPr>
      </w:pPr>
      <w:r>
        <w:rPr>
          <w:szCs w:val="32"/>
        </w:rPr>
        <w:t>构建适合四川地区的空气质量模型最优参数配置方案和复杂地形条件下的气象及源清单实时同化技术。建立四川地区精细化预报和潜势预报模型，形成四川地区精细化预报及潜势预报能力。</w:t>
      </w:r>
    </w:p>
    <w:p>
      <w:pPr>
        <w:snapToGrid w:val="0"/>
        <w:spacing w:line="560" w:lineRule="exact"/>
        <w:ind w:firstLine="641" w:firstLineChars="200"/>
        <w:rPr>
          <w:szCs w:val="32"/>
        </w:rPr>
      </w:pPr>
      <w:r>
        <w:rPr>
          <w:b/>
          <w:bCs/>
          <w:szCs w:val="32"/>
        </w:rPr>
        <w:t>有关说明：</w:t>
      </w:r>
      <w:r>
        <w:rPr>
          <w:szCs w:val="32"/>
        </w:rPr>
        <w:t>支持项目1项，</w:t>
      </w:r>
      <w:r>
        <w:rPr>
          <w:kern w:val="0"/>
          <w:szCs w:val="32"/>
        </w:rPr>
        <w:t>支持经费</w:t>
      </w:r>
      <w:r>
        <w:rPr>
          <w:szCs w:val="32"/>
        </w:rPr>
        <w:t>不超过100万元，实施周期2年。要求产学研联合申报。</w:t>
      </w:r>
    </w:p>
    <w:p>
      <w:pPr>
        <w:spacing w:line="560" w:lineRule="exact"/>
        <w:ind w:firstLine="630"/>
        <w:rPr>
          <w:szCs w:val="32"/>
        </w:rPr>
      </w:pPr>
      <w:bookmarkStart w:id="14" w:name="_Toc18484"/>
      <w:r>
        <w:rPr>
          <w:szCs w:val="32"/>
        </w:rPr>
        <w:t>2.四川盆地臭氧污染形成机制及防控对策研究</w:t>
      </w:r>
      <w:bookmarkEnd w:id="14"/>
      <w:r>
        <w:rPr>
          <w:szCs w:val="32"/>
        </w:rPr>
        <w:t>。</w:t>
      </w:r>
    </w:p>
    <w:p>
      <w:pPr>
        <w:snapToGrid w:val="0"/>
        <w:spacing w:line="560" w:lineRule="exact"/>
        <w:ind w:firstLine="640" w:firstLineChars="200"/>
        <w:rPr>
          <w:szCs w:val="32"/>
        </w:rPr>
      </w:pPr>
      <w:r>
        <w:rPr>
          <w:szCs w:val="32"/>
        </w:rPr>
        <w:t>针对四川盆地夏季臭氧污染严重，研究四川盆地丘陵地形、高湿与高静风频率下O</w:t>
      </w:r>
      <w:r>
        <w:rPr>
          <w:szCs w:val="32"/>
          <w:vertAlign w:val="subscript"/>
        </w:rPr>
        <w:t>3</w:t>
      </w:r>
      <w:r>
        <w:rPr>
          <w:szCs w:val="32"/>
        </w:rPr>
        <w:t>污染形成的物理化学过程以及关键物种在O</w:t>
      </w:r>
      <w:r>
        <w:rPr>
          <w:szCs w:val="32"/>
          <w:vertAlign w:val="subscript"/>
        </w:rPr>
        <w:t>3</w:t>
      </w:r>
      <w:r>
        <w:rPr>
          <w:szCs w:val="32"/>
        </w:rPr>
        <w:t>重污染形成的作用与气象条件的双向耦合及应对机制。结合臭氧生成前体物种的排放与环境受体时空分布特点，开展PM</w:t>
      </w:r>
      <w:r>
        <w:rPr>
          <w:szCs w:val="32"/>
          <w:vertAlign w:val="subscript"/>
        </w:rPr>
        <w:t>2.5</w:t>
      </w:r>
      <w:r>
        <w:rPr>
          <w:szCs w:val="32"/>
        </w:rPr>
        <w:t>与O</w:t>
      </w:r>
      <w:r>
        <w:rPr>
          <w:szCs w:val="32"/>
          <w:vertAlign w:val="subscript"/>
        </w:rPr>
        <w:t>3</w:t>
      </w:r>
      <w:r>
        <w:rPr>
          <w:szCs w:val="32"/>
        </w:rPr>
        <w:t>的协同控制研究，制定臭氧污染防控对策，通过模型模拟等手段，开展相关防控措施的绩效评估，建立臭氧防控对策评估系统。</w:t>
      </w:r>
    </w:p>
    <w:p>
      <w:pPr>
        <w:snapToGrid w:val="0"/>
        <w:spacing w:line="560" w:lineRule="exact"/>
        <w:ind w:firstLine="641" w:firstLineChars="200"/>
        <w:rPr>
          <w:szCs w:val="32"/>
        </w:rPr>
      </w:pPr>
      <w:r>
        <w:rPr>
          <w:b/>
          <w:szCs w:val="32"/>
        </w:rPr>
        <w:t>有关说明：</w:t>
      </w:r>
      <w:r>
        <w:rPr>
          <w:szCs w:val="32"/>
        </w:rPr>
        <w:t>支持项目1项，</w:t>
      </w:r>
      <w:r>
        <w:rPr>
          <w:kern w:val="0"/>
          <w:szCs w:val="32"/>
        </w:rPr>
        <w:t>支持经费</w:t>
      </w:r>
      <w:r>
        <w:rPr>
          <w:szCs w:val="32"/>
        </w:rPr>
        <w:t>不超过100万元，实施周期2年。要求科研院所牵头，鼓励产学研联合申报，牵头单位需具有较好的研究基础和能力。</w:t>
      </w:r>
    </w:p>
    <w:p>
      <w:pPr>
        <w:spacing w:line="560" w:lineRule="exact"/>
        <w:ind w:firstLine="630"/>
        <w:rPr>
          <w:szCs w:val="32"/>
        </w:rPr>
      </w:pPr>
      <w:bookmarkStart w:id="15" w:name="_Toc17184"/>
      <w:r>
        <w:rPr>
          <w:szCs w:val="32"/>
        </w:rPr>
        <w:t>3.砖瓦窑烟气除尘一体化技术及示范工程</w:t>
      </w:r>
      <w:bookmarkEnd w:id="15"/>
      <w:r>
        <w:rPr>
          <w:szCs w:val="32"/>
        </w:rPr>
        <w:t>。</w:t>
      </w:r>
    </w:p>
    <w:p>
      <w:pPr>
        <w:snapToGrid w:val="0"/>
        <w:spacing w:line="560" w:lineRule="exact"/>
        <w:ind w:firstLine="640" w:firstLineChars="200"/>
        <w:rPr>
          <w:szCs w:val="32"/>
        </w:rPr>
      </w:pPr>
      <w:r>
        <w:rPr>
          <w:szCs w:val="32"/>
        </w:rPr>
        <w:t>针对现有砖瓦窑吸收塔存在传质效率低以及分段脱硫、脱硝，氧化和结晶的问题，设计并搭建集吸收、氧化、结晶于一体的脱硫脱硝吸收塔核心装置。建立一套连续运行的同时脱硫脱硝的工艺集成装置，连续运行，考察关键参数与脱硫率和脱硝率的关系，获得优化的工艺参数。开发出适合中小企业锅炉使用的除尘脱硫脱硝一体化工艺和技术，有效降低一次性投资和运行费用；针对目前SCR、SNCR脱硝在高温（300-400</w:t>
      </w:r>
      <w:r>
        <w:rPr>
          <w:rFonts w:hint="eastAsia" w:ascii="宋体" w:hAnsi="宋体" w:eastAsia="宋体" w:cs="宋体"/>
          <w:szCs w:val="32"/>
        </w:rPr>
        <w:t>℃</w:t>
      </w:r>
      <w:r>
        <w:rPr>
          <w:szCs w:val="32"/>
        </w:rPr>
        <w:t>）消耗大量NH3作为还原剂将NO转化为N2，开发出了一种常温脱硝技术。</w:t>
      </w:r>
    </w:p>
    <w:p>
      <w:pPr>
        <w:widowControl/>
        <w:spacing w:line="560" w:lineRule="exact"/>
        <w:ind w:firstLine="630"/>
        <w:rPr>
          <w:kern w:val="0"/>
          <w:szCs w:val="32"/>
        </w:rPr>
      </w:pPr>
      <w:r>
        <w:rPr>
          <w:b/>
          <w:bCs/>
          <w:szCs w:val="32"/>
        </w:rPr>
        <w:t>有关说明：</w:t>
      </w:r>
      <w:r>
        <w:rPr>
          <w:szCs w:val="32"/>
        </w:rPr>
        <w:t>支持项目1项，</w:t>
      </w:r>
      <w:r>
        <w:rPr>
          <w:kern w:val="0"/>
          <w:szCs w:val="32"/>
        </w:rPr>
        <w:t>支持经费</w:t>
      </w:r>
      <w:r>
        <w:rPr>
          <w:szCs w:val="32"/>
        </w:rPr>
        <w:t>不超过100万元，实施周期2年。要求企业牵头，产学研联合申报，</w:t>
      </w:r>
      <w:bookmarkStart w:id="16" w:name="_Toc30558"/>
      <w:bookmarkStart w:id="17" w:name="_Toc2595"/>
      <w:r>
        <w:rPr>
          <w:kern w:val="0"/>
          <w:szCs w:val="32"/>
        </w:rPr>
        <w:t>自筹经费与申请经费比例不低于2:1。</w:t>
      </w:r>
    </w:p>
    <w:p>
      <w:pPr>
        <w:snapToGrid w:val="0"/>
        <w:spacing w:line="560" w:lineRule="exact"/>
        <w:ind w:firstLine="640" w:firstLineChars="200"/>
        <w:rPr>
          <w:szCs w:val="32"/>
        </w:rPr>
      </w:pPr>
      <w:r>
        <w:rPr>
          <w:szCs w:val="32"/>
        </w:rPr>
        <w:t>4.典型城市河流水质功能保障与水生态修复关键技术研究与示范</w:t>
      </w:r>
      <w:bookmarkEnd w:id="16"/>
      <w:bookmarkEnd w:id="17"/>
      <w:r>
        <w:rPr>
          <w:szCs w:val="32"/>
        </w:rPr>
        <w:t>。</w:t>
      </w:r>
    </w:p>
    <w:p>
      <w:pPr>
        <w:snapToGrid w:val="0"/>
        <w:spacing w:line="560" w:lineRule="exact"/>
        <w:ind w:firstLine="640" w:firstLineChars="200"/>
        <w:rPr>
          <w:szCs w:val="32"/>
        </w:rPr>
      </w:pPr>
      <w:r>
        <w:rPr>
          <w:szCs w:val="32"/>
        </w:rPr>
        <w:t>针对典型城市河流的面源污染及水生态环境现状，重点研究居民区生活污水和城市服务业污水入雨水管网的污染控制技术；城市雨水污染控制及资源化利用技术；城市河道内源污染控制、自净能力恢复及景观生态河网构建技术。形成典型城市河流水质保障与水生态修复技术集成与试点示范。</w:t>
      </w:r>
    </w:p>
    <w:p>
      <w:pPr>
        <w:snapToGrid w:val="0"/>
        <w:spacing w:line="560" w:lineRule="exact"/>
        <w:ind w:firstLine="641" w:firstLineChars="200"/>
        <w:rPr>
          <w:szCs w:val="32"/>
        </w:rPr>
      </w:pPr>
      <w:r>
        <w:rPr>
          <w:b/>
          <w:bCs/>
          <w:szCs w:val="32"/>
        </w:rPr>
        <w:t>有关说明：</w:t>
      </w:r>
      <w:r>
        <w:rPr>
          <w:szCs w:val="32"/>
        </w:rPr>
        <w:t>支持项目2项，</w:t>
      </w:r>
      <w:r>
        <w:rPr>
          <w:kern w:val="0"/>
          <w:szCs w:val="32"/>
        </w:rPr>
        <w:t>支持经费</w:t>
      </w:r>
      <w:r>
        <w:rPr>
          <w:szCs w:val="32"/>
        </w:rPr>
        <w:t>不超过50万元，实施周期2年。要求科研院校牵头，鼓励产学研联合申报，牵头单位需具有较好的研究基础和能力。</w:t>
      </w:r>
      <w:bookmarkStart w:id="18" w:name="_Toc22356"/>
      <w:bookmarkStart w:id="19" w:name="_Toc16908"/>
    </w:p>
    <w:p>
      <w:pPr>
        <w:snapToGrid w:val="0"/>
        <w:spacing w:line="560" w:lineRule="exact"/>
        <w:ind w:firstLine="640" w:firstLineChars="200"/>
        <w:rPr>
          <w:szCs w:val="32"/>
        </w:rPr>
      </w:pPr>
      <w:r>
        <w:rPr>
          <w:szCs w:val="32"/>
        </w:rPr>
        <w:t>5.流域水质改善综合防控关键技术研究与集成示范</w:t>
      </w:r>
      <w:bookmarkEnd w:id="18"/>
      <w:bookmarkEnd w:id="19"/>
      <w:r>
        <w:rPr>
          <w:szCs w:val="32"/>
        </w:rPr>
        <w:t>。</w:t>
      </w:r>
    </w:p>
    <w:p>
      <w:pPr>
        <w:snapToGrid w:val="0"/>
        <w:spacing w:line="560" w:lineRule="exact"/>
        <w:ind w:firstLine="640" w:firstLineChars="200"/>
        <w:rPr>
          <w:szCs w:val="32"/>
        </w:rPr>
      </w:pPr>
      <w:r>
        <w:rPr>
          <w:szCs w:val="32"/>
        </w:rPr>
        <w:t>针对流域尺度复杂的污染输移过程，开展典型流域地表水及地下水中污染物的典型污染物的溯源研究，以“源头阻控、输移阻断”为核心，集成硝化抑制和吸附固持一体的污染物高效复合阻控技术、渗透式反应墙与河滨缓冲带相耦合的浅层地下水污染输移阻断技术，构建可复制的“流域污染地表水与地下水一体化控制技术”并进行示范，实现污染物在水分循环过程中的层层削减及地下水水质与地表水水质的双重改善。</w:t>
      </w:r>
    </w:p>
    <w:p>
      <w:pPr>
        <w:snapToGrid w:val="0"/>
        <w:spacing w:line="560" w:lineRule="exact"/>
        <w:ind w:firstLine="641" w:firstLineChars="200"/>
        <w:rPr>
          <w:szCs w:val="32"/>
        </w:rPr>
      </w:pPr>
      <w:r>
        <w:rPr>
          <w:b/>
          <w:bCs/>
          <w:szCs w:val="32"/>
        </w:rPr>
        <w:t>有关说明：</w:t>
      </w:r>
      <w:r>
        <w:rPr>
          <w:szCs w:val="32"/>
        </w:rPr>
        <w:t>支持项目2项，</w:t>
      </w:r>
      <w:r>
        <w:rPr>
          <w:kern w:val="0"/>
          <w:szCs w:val="32"/>
        </w:rPr>
        <w:t>支持经费</w:t>
      </w:r>
      <w:r>
        <w:rPr>
          <w:szCs w:val="32"/>
        </w:rPr>
        <w:t>不超过100万元，实施周期2年。鼓励产学研联合申报。</w:t>
      </w:r>
    </w:p>
    <w:p>
      <w:pPr>
        <w:spacing w:line="560" w:lineRule="exact"/>
        <w:ind w:firstLine="630"/>
        <w:rPr>
          <w:szCs w:val="32"/>
        </w:rPr>
      </w:pPr>
      <w:bookmarkStart w:id="20" w:name="_Toc26749"/>
      <w:bookmarkStart w:id="21" w:name="_Toc21479"/>
      <w:r>
        <w:rPr>
          <w:szCs w:val="32"/>
        </w:rPr>
        <w:t>6.典型工业聚集区废水处理稳定达标技术集成研发与示范</w:t>
      </w:r>
      <w:bookmarkEnd w:id="20"/>
      <w:bookmarkEnd w:id="21"/>
      <w:r>
        <w:rPr>
          <w:szCs w:val="32"/>
        </w:rPr>
        <w:t>。</w:t>
      </w:r>
    </w:p>
    <w:p>
      <w:pPr>
        <w:snapToGrid w:val="0"/>
        <w:spacing w:line="560" w:lineRule="exact"/>
        <w:ind w:firstLine="640" w:firstLineChars="200"/>
        <w:rPr>
          <w:szCs w:val="32"/>
        </w:rPr>
      </w:pPr>
      <w:r>
        <w:rPr>
          <w:szCs w:val="32"/>
        </w:rPr>
        <w:t>针对长江经济带沿江工业园区废水排放，研发废水分质分流技术与预处理技术、新型催化材料与高级氧化耦合处理技术、生物强化处理稳定运行技术等共性技术；创新工业聚集区废水源头到末端的管控模式，集成研废水物化-生化协同处理稳定达标技术，并进行工程示范。</w:t>
      </w:r>
    </w:p>
    <w:p>
      <w:pPr>
        <w:widowControl/>
        <w:spacing w:line="560" w:lineRule="exact"/>
        <w:ind w:firstLine="630"/>
        <w:rPr>
          <w:kern w:val="0"/>
          <w:szCs w:val="32"/>
        </w:rPr>
      </w:pPr>
      <w:r>
        <w:rPr>
          <w:b/>
          <w:bCs/>
          <w:szCs w:val="32"/>
        </w:rPr>
        <w:t>有关说明：</w:t>
      </w:r>
      <w:r>
        <w:rPr>
          <w:szCs w:val="32"/>
        </w:rPr>
        <w:t>支持项目1项，</w:t>
      </w:r>
      <w:r>
        <w:rPr>
          <w:kern w:val="0"/>
          <w:szCs w:val="32"/>
        </w:rPr>
        <w:t>支持经费</w:t>
      </w:r>
      <w:r>
        <w:rPr>
          <w:szCs w:val="32"/>
        </w:rPr>
        <w:t>不超过100万元，实施周期2年。要求产学研联合申报，</w:t>
      </w:r>
      <w:r>
        <w:rPr>
          <w:kern w:val="0"/>
          <w:szCs w:val="32"/>
        </w:rPr>
        <w:t>自筹经费与申请经费比例不低于1:1。</w:t>
      </w:r>
    </w:p>
    <w:p>
      <w:pPr>
        <w:spacing w:line="560" w:lineRule="exact"/>
        <w:ind w:firstLine="630"/>
        <w:rPr>
          <w:szCs w:val="32"/>
        </w:rPr>
      </w:pPr>
      <w:bookmarkStart w:id="22" w:name="_Toc27564"/>
      <w:bookmarkStart w:id="23" w:name="_Toc27565"/>
      <w:r>
        <w:rPr>
          <w:szCs w:val="32"/>
        </w:rPr>
        <w:t>7.粮经作物主产区农田土壤重金属污染防控技术集成与示范</w:t>
      </w:r>
      <w:bookmarkEnd w:id="22"/>
      <w:bookmarkEnd w:id="23"/>
      <w:r>
        <w:rPr>
          <w:szCs w:val="32"/>
        </w:rPr>
        <w:t>。</w:t>
      </w:r>
    </w:p>
    <w:p>
      <w:pPr>
        <w:snapToGrid w:val="0"/>
        <w:spacing w:line="560" w:lineRule="exact"/>
        <w:ind w:firstLine="640" w:firstLineChars="200"/>
        <w:rPr>
          <w:szCs w:val="32"/>
        </w:rPr>
      </w:pPr>
      <w:r>
        <w:rPr>
          <w:szCs w:val="32"/>
        </w:rPr>
        <w:t>针对川南地区典型粮经作物主产区，研发酸性土壤重金属污染综合防控技术，以及农产品安全生产技术2-3项，集成典型区域污染农田综合治理技术1套，建立污染防控与安全生产的核心区、示范区、辐射推广区，主要农产品质量基本或完全符合国家标准，土壤重金属有效性明显降低。</w:t>
      </w:r>
    </w:p>
    <w:p>
      <w:pPr>
        <w:snapToGrid w:val="0"/>
        <w:spacing w:line="560" w:lineRule="exact"/>
        <w:ind w:firstLine="641" w:firstLineChars="200"/>
        <w:rPr>
          <w:szCs w:val="32"/>
        </w:rPr>
      </w:pPr>
      <w:r>
        <w:rPr>
          <w:b/>
          <w:bCs/>
          <w:szCs w:val="32"/>
        </w:rPr>
        <w:t>有关说明：</w:t>
      </w:r>
      <w:r>
        <w:rPr>
          <w:szCs w:val="32"/>
        </w:rPr>
        <w:t>支持项目1项，</w:t>
      </w:r>
      <w:r>
        <w:rPr>
          <w:kern w:val="0"/>
          <w:szCs w:val="32"/>
        </w:rPr>
        <w:t>支持经费</w:t>
      </w:r>
      <w:r>
        <w:rPr>
          <w:szCs w:val="32"/>
        </w:rPr>
        <w:t>不超过50万元，实施周期2年。要求产学研联合申报，鼓励国际合作。</w:t>
      </w:r>
    </w:p>
    <w:p>
      <w:pPr>
        <w:spacing w:line="560" w:lineRule="exact"/>
        <w:ind w:firstLine="630"/>
        <w:rPr>
          <w:szCs w:val="32"/>
        </w:rPr>
      </w:pPr>
      <w:bookmarkStart w:id="24" w:name="_Toc8391"/>
      <w:r>
        <w:rPr>
          <w:szCs w:val="32"/>
        </w:rPr>
        <w:t>8.典型矿山区域污染土壤修复新材料开发与工程技术示范</w:t>
      </w:r>
      <w:bookmarkEnd w:id="24"/>
      <w:r>
        <w:rPr>
          <w:szCs w:val="32"/>
        </w:rPr>
        <w:t>。</w:t>
      </w:r>
    </w:p>
    <w:p>
      <w:pPr>
        <w:snapToGrid w:val="0"/>
        <w:spacing w:line="560" w:lineRule="exact"/>
        <w:ind w:firstLine="640" w:firstLineChars="200"/>
        <w:rPr>
          <w:szCs w:val="32"/>
        </w:rPr>
      </w:pPr>
      <w:r>
        <w:rPr>
          <w:szCs w:val="32"/>
        </w:rPr>
        <w:t>针对我省典型矿产开发区域所面临的土壤污染与农产品安全问题，开展矿山区域土壤生态修复与农产品安全利用技术研究，研发具有修复和阻隔功能的环境友好型无机材料，并在矿区不同污染程度的土壤中进行技术集成与示范，建立工程示范点，形成四川省典型矿山区域土壤修复的技术指南。</w:t>
      </w:r>
    </w:p>
    <w:p>
      <w:pPr>
        <w:snapToGrid w:val="0"/>
        <w:spacing w:line="560" w:lineRule="exact"/>
        <w:ind w:firstLine="641" w:firstLineChars="200"/>
        <w:rPr>
          <w:szCs w:val="32"/>
        </w:rPr>
      </w:pPr>
      <w:r>
        <w:rPr>
          <w:b/>
          <w:bCs/>
          <w:szCs w:val="32"/>
        </w:rPr>
        <w:t>有关说明：</w:t>
      </w:r>
      <w:r>
        <w:rPr>
          <w:szCs w:val="32"/>
        </w:rPr>
        <w:t>支持项目1项，</w:t>
      </w:r>
      <w:r>
        <w:rPr>
          <w:kern w:val="0"/>
          <w:szCs w:val="32"/>
        </w:rPr>
        <w:t>支持经费</w:t>
      </w:r>
      <w:r>
        <w:rPr>
          <w:szCs w:val="32"/>
        </w:rPr>
        <w:t xml:space="preserve">不超过100万元，实施周期2年。鼓励产学研联合申报。 </w:t>
      </w:r>
    </w:p>
    <w:p>
      <w:pPr>
        <w:spacing w:line="560" w:lineRule="exact"/>
        <w:ind w:firstLine="630"/>
        <w:rPr>
          <w:szCs w:val="32"/>
        </w:rPr>
      </w:pPr>
      <w:bookmarkStart w:id="25" w:name="_Toc3598"/>
      <w:bookmarkStart w:id="26" w:name="_Toc7920"/>
      <w:r>
        <w:rPr>
          <w:szCs w:val="32"/>
        </w:rPr>
        <w:t>9</w:t>
      </w:r>
      <w:bookmarkEnd w:id="25"/>
      <w:r>
        <w:rPr>
          <w:szCs w:val="32"/>
        </w:rPr>
        <w:t>.场地污染土壤综合治理技术集成及应用示范。</w:t>
      </w:r>
      <w:bookmarkEnd w:id="26"/>
    </w:p>
    <w:p>
      <w:pPr>
        <w:snapToGrid w:val="0"/>
        <w:spacing w:line="560" w:lineRule="exact"/>
        <w:ind w:firstLine="640" w:firstLineChars="200"/>
        <w:rPr>
          <w:szCs w:val="32"/>
        </w:rPr>
      </w:pPr>
      <w:r>
        <w:rPr>
          <w:szCs w:val="32"/>
        </w:rPr>
        <w:t>针对场地环境污染严重并影响周边生态安全和居民健康问题，开展场地污染土壤治理技术研究；研发场地土壤污染扩散的阻隔材料2-3种，形成污染土壤治理技术3-5项，建立场地综合治理技术规程和效果评估技术规范1套，集成典型重金属污染场地综合治理技术模式1套，并进行应用示范与推广。</w:t>
      </w:r>
    </w:p>
    <w:p>
      <w:pPr>
        <w:snapToGrid w:val="0"/>
        <w:spacing w:line="560" w:lineRule="exact"/>
        <w:ind w:firstLine="641" w:firstLineChars="200"/>
        <w:rPr>
          <w:szCs w:val="32"/>
        </w:rPr>
      </w:pPr>
      <w:r>
        <w:rPr>
          <w:b/>
          <w:szCs w:val="32"/>
        </w:rPr>
        <w:t>有关说明：</w:t>
      </w:r>
      <w:r>
        <w:rPr>
          <w:szCs w:val="32"/>
        </w:rPr>
        <w:t>支持项目1-2项，</w:t>
      </w:r>
      <w:r>
        <w:rPr>
          <w:kern w:val="0"/>
          <w:szCs w:val="32"/>
        </w:rPr>
        <w:t>支持经费</w:t>
      </w:r>
      <w:r>
        <w:rPr>
          <w:szCs w:val="32"/>
        </w:rPr>
        <w:t>不超过50万元，实施周期2年。鼓励产学研联合申报。</w:t>
      </w:r>
    </w:p>
    <w:p>
      <w:pPr>
        <w:spacing w:line="560" w:lineRule="exact"/>
        <w:ind w:firstLine="630"/>
        <w:rPr>
          <w:szCs w:val="32"/>
        </w:rPr>
      </w:pPr>
      <w:bookmarkStart w:id="27" w:name="_Toc32698"/>
      <w:r>
        <w:rPr>
          <w:szCs w:val="32"/>
        </w:rPr>
        <w:t>10.污泥生物处理及资源化利用技术研发及示范</w:t>
      </w:r>
      <w:bookmarkEnd w:id="27"/>
      <w:r>
        <w:rPr>
          <w:szCs w:val="32"/>
        </w:rPr>
        <w:t>。</w:t>
      </w:r>
    </w:p>
    <w:p>
      <w:pPr>
        <w:snapToGrid w:val="0"/>
        <w:spacing w:line="560" w:lineRule="exact"/>
        <w:ind w:firstLine="640" w:firstLineChars="200"/>
        <w:rPr>
          <w:szCs w:val="32"/>
        </w:rPr>
      </w:pPr>
      <w:r>
        <w:rPr>
          <w:szCs w:val="32"/>
        </w:rPr>
        <w:t>在传统污泥处理技术的基础上，研发新型蚯蚓—微生物生态系统处理污泥的技术，通过蚯蚓体内机械研磨作用、生物酶和微生物的联合作用分解污泥中的有机物，形成植物易于利用的可给态化合物，实现了废物综合利用；建立大田蚯蚓养殖污泥处理技术的标准化流程，开展大规模的大田蚯蚓养殖处理污泥应用示范。</w:t>
      </w:r>
    </w:p>
    <w:p>
      <w:pPr>
        <w:widowControl/>
        <w:spacing w:line="560" w:lineRule="exact"/>
        <w:ind w:firstLine="630"/>
        <w:rPr>
          <w:szCs w:val="32"/>
        </w:rPr>
      </w:pPr>
      <w:r>
        <w:rPr>
          <w:b/>
          <w:szCs w:val="32"/>
        </w:rPr>
        <w:t>有关说明：</w:t>
      </w:r>
      <w:r>
        <w:rPr>
          <w:szCs w:val="32"/>
        </w:rPr>
        <w:t>支持项目1项，</w:t>
      </w:r>
      <w:r>
        <w:rPr>
          <w:kern w:val="0"/>
          <w:szCs w:val="32"/>
        </w:rPr>
        <w:t>支持经费</w:t>
      </w:r>
      <w:r>
        <w:rPr>
          <w:szCs w:val="32"/>
        </w:rPr>
        <w:t>不超过50万元，实施周期2年。要求企业牵头，产学研联合申报</w:t>
      </w:r>
      <w:bookmarkStart w:id="28" w:name="_Toc23824"/>
      <w:r>
        <w:rPr>
          <w:szCs w:val="32"/>
        </w:rPr>
        <w:t>，</w:t>
      </w:r>
      <w:r>
        <w:rPr>
          <w:kern w:val="0"/>
          <w:szCs w:val="32"/>
        </w:rPr>
        <w:t>自筹经费与申请经费比例不低于1:1。</w:t>
      </w:r>
    </w:p>
    <w:p>
      <w:pPr>
        <w:snapToGrid w:val="0"/>
        <w:spacing w:line="560" w:lineRule="exact"/>
        <w:ind w:firstLine="640" w:firstLineChars="200"/>
        <w:rPr>
          <w:rFonts w:eastAsia="楷体_GB2312"/>
          <w:szCs w:val="32"/>
        </w:rPr>
      </w:pPr>
      <w:r>
        <w:rPr>
          <w:rFonts w:eastAsia="楷体_GB2312"/>
          <w:szCs w:val="32"/>
        </w:rPr>
        <w:t>（二）生态保护。</w:t>
      </w:r>
    </w:p>
    <w:p>
      <w:pPr>
        <w:spacing w:line="560" w:lineRule="exact"/>
        <w:ind w:firstLine="630"/>
        <w:rPr>
          <w:szCs w:val="32"/>
        </w:rPr>
      </w:pPr>
      <w:r>
        <w:rPr>
          <w:szCs w:val="32"/>
        </w:rPr>
        <w:t>1.生态保护红线遥感监测关键技术研究与示范应用。</w:t>
      </w:r>
    </w:p>
    <w:p>
      <w:pPr>
        <w:snapToGrid w:val="0"/>
        <w:spacing w:line="560" w:lineRule="exact"/>
        <w:ind w:firstLine="640" w:firstLineChars="200"/>
        <w:rPr>
          <w:szCs w:val="32"/>
        </w:rPr>
      </w:pPr>
      <w:r>
        <w:rPr>
          <w:szCs w:val="32"/>
        </w:rPr>
        <w:t>研究基于国产高分辨率遥感影像的森林、湖泊、草原等自然生态信息以及工矿、道路、居民点等人类干扰活动信息提取技术，基于地理国情监测数据的水、土壤等专题数据融合技术；构建生物多样性、水源涵养、土壤保持等生态功能评价指标体系、人类干扰活动影响程度评价指标体系；建立1-2个示范区生态保护红线基础信息数据库；开发“生态保护红线遥感监测服务平台”，实现监测数据的集成分析与综合应用，形成一套标准化的生态保护红线遥感监测技术体系，支撑生态保护红线管控体系建设。</w:t>
      </w:r>
    </w:p>
    <w:p>
      <w:pPr>
        <w:snapToGrid w:val="0"/>
        <w:spacing w:line="560" w:lineRule="exact"/>
        <w:ind w:firstLine="641" w:firstLineChars="200"/>
        <w:rPr>
          <w:szCs w:val="32"/>
        </w:rPr>
      </w:pPr>
      <w:r>
        <w:rPr>
          <w:b/>
          <w:bCs/>
          <w:szCs w:val="32"/>
        </w:rPr>
        <w:t>有关说明：</w:t>
      </w:r>
      <w:r>
        <w:rPr>
          <w:szCs w:val="32"/>
        </w:rPr>
        <w:t>支持项目1项，</w:t>
      </w:r>
      <w:r>
        <w:rPr>
          <w:kern w:val="0"/>
          <w:szCs w:val="32"/>
        </w:rPr>
        <w:t>支持经费</w:t>
      </w:r>
      <w:r>
        <w:rPr>
          <w:szCs w:val="32"/>
        </w:rPr>
        <w:t>不超过100万元，实施周期2年。鼓励产学研联合申报。</w:t>
      </w:r>
    </w:p>
    <w:p>
      <w:pPr>
        <w:spacing w:line="560" w:lineRule="exact"/>
        <w:ind w:firstLine="630"/>
        <w:rPr>
          <w:szCs w:val="32"/>
        </w:rPr>
      </w:pPr>
      <w:r>
        <w:rPr>
          <w:szCs w:val="32"/>
        </w:rPr>
        <w:t>2.高海拔退化生态系统生态屏障与旅游景观的功能提升关键技术研究。</w:t>
      </w:r>
    </w:p>
    <w:p>
      <w:pPr>
        <w:snapToGrid w:val="0"/>
        <w:spacing w:line="560" w:lineRule="exact"/>
        <w:ind w:firstLine="640" w:firstLineChars="200"/>
        <w:rPr>
          <w:szCs w:val="32"/>
        </w:rPr>
      </w:pPr>
      <w:r>
        <w:rPr>
          <w:szCs w:val="32"/>
        </w:rPr>
        <w:t>针对长江上游生态建设中亟待加强亚高山退化森林生态功能提升与生态旅游景观塑造等重大需求，重点研发典型次生灌丛的快速成林恢复与功能提升等关键技术；开展高海拔地区景观类乡土植物筛选与快速繁育鼓励产技术；开展县域范围的生态恢复与生态景观功能提升技术集成与示范，为我省生态屏障功能建设和全域生态旅游品质提升提供科技支撑。</w:t>
      </w:r>
    </w:p>
    <w:p>
      <w:pPr>
        <w:snapToGrid w:val="0"/>
        <w:spacing w:line="560" w:lineRule="exact"/>
        <w:ind w:firstLine="641" w:firstLineChars="200"/>
        <w:rPr>
          <w:szCs w:val="32"/>
        </w:rPr>
      </w:pPr>
      <w:r>
        <w:rPr>
          <w:b/>
          <w:bCs/>
          <w:szCs w:val="32"/>
        </w:rPr>
        <w:t>有关说明：</w:t>
      </w:r>
      <w:r>
        <w:rPr>
          <w:szCs w:val="32"/>
        </w:rPr>
        <w:t>支持项目1项，</w:t>
      </w:r>
      <w:r>
        <w:rPr>
          <w:kern w:val="0"/>
          <w:szCs w:val="32"/>
        </w:rPr>
        <w:t>支持经费不超过</w:t>
      </w:r>
      <w:r>
        <w:rPr>
          <w:szCs w:val="32"/>
        </w:rPr>
        <w:t>100万元，实施周期2年。鼓励产学研联合申报。</w:t>
      </w:r>
    </w:p>
    <w:bookmarkEnd w:id="28"/>
    <w:p>
      <w:pPr>
        <w:spacing w:line="560" w:lineRule="exact"/>
        <w:ind w:firstLine="630"/>
        <w:rPr>
          <w:szCs w:val="32"/>
        </w:rPr>
      </w:pPr>
      <w:bookmarkStart w:id="29" w:name="_Toc18660"/>
      <w:r>
        <w:rPr>
          <w:szCs w:val="32"/>
        </w:rPr>
        <w:t>3.大型工程受损生态系统修复技术构建与示范研究。</w:t>
      </w:r>
    </w:p>
    <w:p>
      <w:pPr>
        <w:snapToGrid w:val="0"/>
        <w:spacing w:line="560" w:lineRule="exact"/>
        <w:ind w:firstLine="640" w:firstLineChars="200"/>
        <w:rPr>
          <w:szCs w:val="32"/>
        </w:rPr>
      </w:pPr>
      <w:r>
        <w:rPr>
          <w:szCs w:val="32"/>
        </w:rPr>
        <w:t>针对我省山区道路建设、水电或矿产资源开发等重大工程建设形成的受损生态系统，开展生态受损诊断，筛选适宜物种，研发生态系统修复群落构建、土壤质量改善和生态功能提升等关键技术，建立受损生态系统生态修复评价与适应性管理技术规程，为我省重大工程建设提供生态保护科技支撑。</w:t>
      </w:r>
    </w:p>
    <w:p>
      <w:pPr>
        <w:snapToGrid w:val="0"/>
        <w:spacing w:line="560" w:lineRule="exact"/>
        <w:ind w:firstLine="641" w:firstLineChars="200"/>
        <w:rPr>
          <w:szCs w:val="32"/>
        </w:rPr>
      </w:pPr>
      <w:r>
        <w:rPr>
          <w:b/>
          <w:bCs/>
          <w:szCs w:val="32"/>
        </w:rPr>
        <w:t>有关说明：</w:t>
      </w:r>
      <w:r>
        <w:rPr>
          <w:szCs w:val="32"/>
        </w:rPr>
        <w:t>支持项目1项，</w:t>
      </w:r>
      <w:r>
        <w:rPr>
          <w:kern w:val="0"/>
          <w:szCs w:val="32"/>
        </w:rPr>
        <w:t>支持经费不超过</w:t>
      </w:r>
      <w:r>
        <w:rPr>
          <w:szCs w:val="32"/>
        </w:rPr>
        <w:t>100万元，实施周期2年。鼓励产学研联合申报。</w:t>
      </w:r>
    </w:p>
    <w:bookmarkEnd w:id="29"/>
    <w:p>
      <w:pPr>
        <w:spacing w:line="560" w:lineRule="exact"/>
        <w:ind w:firstLine="630"/>
        <w:rPr>
          <w:szCs w:val="32"/>
        </w:rPr>
      </w:pPr>
      <w:bookmarkStart w:id="30" w:name="_Toc2667"/>
      <w:r>
        <w:rPr>
          <w:szCs w:val="32"/>
        </w:rPr>
        <w:t>4.城市森林生态防护林体系构建技术与示范</w:t>
      </w:r>
      <w:bookmarkEnd w:id="30"/>
      <w:r>
        <w:rPr>
          <w:szCs w:val="32"/>
        </w:rPr>
        <w:t>。</w:t>
      </w:r>
    </w:p>
    <w:p>
      <w:pPr>
        <w:snapToGrid w:val="0"/>
        <w:spacing w:line="560" w:lineRule="exact"/>
        <w:ind w:firstLine="640" w:firstLineChars="200"/>
        <w:rPr>
          <w:szCs w:val="32"/>
        </w:rPr>
      </w:pPr>
      <w:r>
        <w:rPr>
          <w:szCs w:val="32"/>
        </w:rPr>
        <w:t>针对国家中心城市生态安全保障和城市森林公园建设的重大科技需求，重点研发城市森林景观格局空间优化技术、城市低效生态防护林结构优化与质量提升技术、困难立地植被恢复物种筛选与复合群落配置关键技术，形成城市森林生态防护体系构建技术体系，建立试验示范样板。</w:t>
      </w:r>
    </w:p>
    <w:p>
      <w:pPr>
        <w:snapToGrid w:val="0"/>
        <w:spacing w:line="560" w:lineRule="exact"/>
        <w:ind w:firstLine="641" w:firstLineChars="200"/>
        <w:rPr>
          <w:szCs w:val="32"/>
        </w:rPr>
      </w:pPr>
      <w:r>
        <w:rPr>
          <w:b/>
          <w:bCs/>
          <w:szCs w:val="32"/>
        </w:rPr>
        <w:t>有关说明：</w:t>
      </w:r>
      <w:r>
        <w:rPr>
          <w:szCs w:val="32"/>
        </w:rPr>
        <w:t>支持项目1项，</w:t>
      </w:r>
      <w:r>
        <w:rPr>
          <w:kern w:val="0"/>
          <w:szCs w:val="32"/>
        </w:rPr>
        <w:t>支持经费不超过</w:t>
      </w:r>
      <w:r>
        <w:rPr>
          <w:szCs w:val="32"/>
        </w:rPr>
        <w:t>100万元，实施周期2年。鼓励产学研联合申报。</w:t>
      </w:r>
    </w:p>
    <w:p>
      <w:pPr>
        <w:spacing w:line="560" w:lineRule="exact"/>
        <w:ind w:firstLine="630"/>
        <w:rPr>
          <w:szCs w:val="32"/>
        </w:rPr>
      </w:pPr>
      <w:r>
        <w:rPr>
          <w:szCs w:val="32"/>
        </w:rPr>
        <w:t>5.城市周边外来入侵种的防控与资源化利用技术。</w:t>
      </w:r>
    </w:p>
    <w:p>
      <w:pPr>
        <w:snapToGrid w:val="0"/>
        <w:spacing w:line="560" w:lineRule="exact"/>
        <w:ind w:firstLine="640" w:firstLineChars="200"/>
        <w:rPr>
          <w:szCs w:val="32"/>
        </w:rPr>
      </w:pPr>
      <w:r>
        <w:rPr>
          <w:szCs w:val="32"/>
        </w:rPr>
        <w:t>针对城市周边绿地及工程建设废弃地入侵植物扩散迅猛，对生态系统安全乃至人体健康危害严重问题，开展入侵植物灾害化现状和发展趋势调查评估，研究城市周边入侵生物快速杀灭清除、入侵生物泛滥区生态环境恢复技术，形成典型外来入侵植物快速治理、资源化利用、生态重建等关键技术3-5项，开展试点示范。</w:t>
      </w:r>
    </w:p>
    <w:p>
      <w:pPr>
        <w:snapToGrid w:val="0"/>
        <w:spacing w:line="560" w:lineRule="exact"/>
        <w:ind w:firstLine="641" w:firstLineChars="200"/>
        <w:rPr>
          <w:rFonts w:hint="eastAsia"/>
          <w:szCs w:val="32"/>
        </w:rPr>
      </w:pPr>
      <w:r>
        <w:rPr>
          <w:b/>
          <w:szCs w:val="32"/>
        </w:rPr>
        <w:t>有关说明：</w:t>
      </w:r>
      <w:r>
        <w:rPr>
          <w:szCs w:val="32"/>
        </w:rPr>
        <w:t>支持项目1项，</w:t>
      </w:r>
      <w:r>
        <w:rPr>
          <w:kern w:val="0"/>
          <w:szCs w:val="32"/>
        </w:rPr>
        <w:t>支持经费不超过</w:t>
      </w:r>
      <w:r>
        <w:rPr>
          <w:szCs w:val="32"/>
        </w:rPr>
        <w:t>100万元，实施周期2年。鼓励产学研联合申报。</w:t>
      </w:r>
      <w:bookmarkStart w:id="31" w:name="_Toc13820"/>
    </w:p>
    <w:p>
      <w:pPr>
        <w:snapToGrid w:val="0"/>
        <w:spacing w:line="560" w:lineRule="exact"/>
        <w:ind w:firstLine="640" w:firstLineChars="200"/>
        <w:rPr>
          <w:rFonts w:ascii="黑体" w:hAnsi="黑体" w:eastAsia="黑体"/>
          <w:kern w:val="44"/>
        </w:rPr>
      </w:pPr>
      <w:r>
        <w:rPr>
          <w:rFonts w:ascii="黑体" w:hAnsi="黑体" w:eastAsia="黑体"/>
          <w:kern w:val="44"/>
        </w:rPr>
        <w:t>八、公共安全</w:t>
      </w:r>
      <w:bookmarkEnd w:id="31"/>
    </w:p>
    <w:p>
      <w:pPr>
        <w:spacing w:line="560" w:lineRule="exact"/>
        <w:ind w:firstLine="630"/>
        <w:rPr>
          <w:rFonts w:eastAsia="楷体_GB2312"/>
          <w:szCs w:val="32"/>
        </w:rPr>
      </w:pPr>
      <w:bookmarkStart w:id="32" w:name="_Toc21910"/>
      <w:r>
        <w:rPr>
          <w:rFonts w:eastAsia="楷体_GB2312"/>
          <w:szCs w:val="32"/>
        </w:rPr>
        <w:t>（一）防灾减灾</w:t>
      </w:r>
      <w:bookmarkEnd w:id="32"/>
      <w:r>
        <w:rPr>
          <w:rFonts w:eastAsia="楷体_GB2312"/>
          <w:szCs w:val="32"/>
        </w:rPr>
        <w:t>。</w:t>
      </w:r>
    </w:p>
    <w:p>
      <w:pPr>
        <w:spacing w:line="560" w:lineRule="exact"/>
        <w:ind w:firstLine="630"/>
        <w:rPr>
          <w:szCs w:val="32"/>
        </w:rPr>
      </w:pPr>
      <w:bookmarkStart w:id="33" w:name="_Toc17927"/>
      <w:r>
        <w:rPr>
          <w:szCs w:val="32"/>
        </w:rPr>
        <w:t>1.四川典型地区及小流域地质灾害监测预警与精细化预报研究与示范</w:t>
      </w:r>
      <w:bookmarkEnd w:id="33"/>
      <w:r>
        <w:rPr>
          <w:szCs w:val="32"/>
        </w:rPr>
        <w:t>。</w:t>
      </w:r>
    </w:p>
    <w:p>
      <w:pPr>
        <w:snapToGrid w:val="0"/>
        <w:spacing w:line="560" w:lineRule="exact"/>
        <w:ind w:firstLine="640" w:firstLineChars="200"/>
        <w:rPr>
          <w:szCs w:val="32"/>
        </w:rPr>
      </w:pPr>
      <w:r>
        <w:rPr>
          <w:szCs w:val="32"/>
        </w:rPr>
        <w:t>重点研究川东北红层（红色砂泥岩互层）山区强降雨诱发群发性滑坡的形成条件（地质、地形条件和雨量条件）、发育分布规律、成因机制、早期判识与监测预警方法、风险防控对策与措施。研究西部干旱河谷区大型山洪泥石流灾害形成条件、成因模式、成灾机理与灾害链效应、早期判识与监测预警方法、防治对策与措施。揭示四川典型地区降雨诱发地质灾害的形成条件和典型成因模式，提出针对性的灾害隐患早期判识和监测技术方法，建立适宜的、针对性的预警模型和判据，研发实时自动监测预警系统，提出针对性的防治对策和措施。选择典型区域代表性灾害点开展1-2处监测预警示范。</w:t>
      </w:r>
    </w:p>
    <w:p>
      <w:pPr>
        <w:snapToGrid w:val="0"/>
        <w:spacing w:line="560" w:lineRule="exact"/>
        <w:ind w:firstLine="641" w:firstLineChars="200"/>
        <w:rPr>
          <w:szCs w:val="32"/>
        </w:rPr>
      </w:pPr>
      <w:r>
        <w:rPr>
          <w:b/>
          <w:bCs/>
          <w:szCs w:val="32"/>
        </w:rPr>
        <w:t>有关说明：</w:t>
      </w:r>
      <w:r>
        <w:rPr>
          <w:szCs w:val="32"/>
        </w:rPr>
        <w:t>支持项目1-2项，</w:t>
      </w:r>
      <w:r>
        <w:rPr>
          <w:kern w:val="0"/>
          <w:szCs w:val="32"/>
        </w:rPr>
        <w:t>支持经费不超过</w:t>
      </w:r>
      <w:r>
        <w:rPr>
          <w:szCs w:val="32"/>
        </w:rPr>
        <w:t>100万元，实施周期2年。鼓励产学研联合申报。</w:t>
      </w:r>
    </w:p>
    <w:p>
      <w:pPr>
        <w:spacing w:line="560" w:lineRule="exact"/>
        <w:ind w:firstLine="630"/>
        <w:rPr>
          <w:szCs w:val="32"/>
        </w:rPr>
      </w:pPr>
      <w:bookmarkStart w:id="34" w:name="_Toc6243"/>
      <w:r>
        <w:rPr>
          <w:szCs w:val="32"/>
        </w:rPr>
        <w:t>2.空-天-地-内一体化地质灾害探（观）测技术研究</w:t>
      </w:r>
      <w:bookmarkEnd w:id="34"/>
      <w:r>
        <w:rPr>
          <w:szCs w:val="32"/>
        </w:rPr>
        <w:t>。</w:t>
      </w:r>
    </w:p>
    <w:p>
      <w:pPr>
        <w:snapToGrid w:val="0"/>
        <w:spacing w:line="560" w:lineRule="exact"/>
        <w:ind w:firstLine="640" w:firstLineChars="200"/>
        <w:rPr>
          <w:szCs w:val="32"/>
        </w:rPr>
      </w:pPr>
      <w:r>
        <w:rPr>
          <w:szCs w:val="32"/>
        </w:rPr>
        <w:t>重点研究基于卫星雷达干涉测量（InSAR）的大面积、长时间序列、高精度地表形变监测与大型滑坡隐患早期识别技术；基于无人机载激光探测与测量（LIDAR）的高精度数字地面模型（DTM）快速生成和高植被覆盖区地质灾害隐患点快速识别技术；基于无人机数字摄影测量的高精度正射影像和三维地形图快速生成技术以及地面微小变形探（监）测技术；基于地基雷达干涉测量（GBSAR）、地面三维激光扫描和近景摄影测量的高精度三维地形图或正射影像图快速生成技术；研发便携式地质灾害现场监测包，实现对雨量、地下水位、地表形变和土体含水率等指标的现场快速监测。形成卫星InSAR、无人机LIDAR、无人机数字摄影测量，以及GBSAR、地面三维激光扫描和近景摄影测量的空-天-地一体化地质灾害探（监）测技术方法体系，研发地质灾害便携式现场快速监测包。选择典型示范区1-2处开展高精度快速三维成图、成像以及监测预警示范。</w:t>
      </w:r>
    </w:p>
    <w:p>
      <w:pPr>
        <w:snapToGrid w:val="0"/>
        <w:spacing w:line="560" w:lineRule="exact"/>
        <w:ind w:firstLine="641" w:firstLineChars="200"/>
        <w:rPr>
          <w:szCs w:val="32"/>
        </w:rPr>
      </w:pPr>
      <w:r>
        <w:rPr>
          <w:b/>
          <w:bCs/>
          <w:szCs w:val="32"/>
        </w:rPr>
        <w:t>有关说明：</w:t>
      </w:r>
      <w:r>
        <w:rPr>
          <w:szCs w:val="32"/>
        </w:rPr>
        <w:t>支持项目1项，</w:t>
      </w:r>
      <w:r>
        <w:rPr>
          <w:kern w:val="0"/>
          <w:szCs w:val="32"/>
        </w:rPr>
        <w:t>支持经费不超过</w:t>
      </w:r>
      <w:r>
        <w:rPr>
          <w:szCs w:val="32"/>
        </w:rPr>
        <w:t>100万元，实施周期3年。鼓励产学研联合申报。</w:t>
      </w:r>
    </w:p>
    <w:p>
      <w:pPr>
        <w:spacing w:line="560" w:lineRule="exact"/>
        <w:ind w:firstLine="630"/>
        <w:rPr>
          <w:szCs w:val="32"/>
        </w:rPr>
      </w:pPr>
      <w:bookmarkStart w:id="35" w:name="_Toc24886"/>
      <w:r>
        <w:rPr>
          <w:szCs w:val="32"/>
        </w:rPr>
        <w:t>3.山地灾害链预测预警平台建设</w:t>
      </w:r>
      <w:bookmarkEnd w:id="35"/>
      <w:r>
        <w:rPr>
          <w:szCs w:val="32"/>
        </w:rPr>
        <w:t>。</w:t>
      </w:r>
    </w:p>
    <w:p>
      <w:pPr>
        <w:snapToGrid w:val="0"/>
        <w:spacing w:line="560" w:lineRule="exact"/>
        <w:ind w:firstLine="640" w:firstLineChars="200"/>
        <w:rPr>
          <w:szCs w:val="32"/>
        </w:rPr>
      </w:pPr>
      <w:r>
        <w:rPr>
          <w:szCs w:val="32"/>
        </w:rPr>
        <w:t>针对极端气候变化和地震活动频繁背景下我省滑坡、泥石流和山洪等灾害常呈灾害链发生的山地灾害问题，构建科学预测和预警的防灾减灾平台。建立基于内外动力和灾害链事件的灾害数据库；研发基于气候变化和地震活动的山地灾害链预测平台，预测灾害的高、中、低易发区；构建技防和群防的灾害的监测预警指标系统与特征阈值体系；建议产学研用一体化的，多部门共享的灾害预测预警综合平台。</w:t>
      </w:r>
    </w:p>
    <w:p>
      <w:pPr>
        <w:snapToGrid w:val="0"/>
        <w:spacing w:line="560" w:lineRule="exact"/>
        <w:ind w:firstLine="641" w:firstLineChars="200"/>
        <w:rPr>
          <w:szCs w:val="32"/>
        </w:rPr>
      </w:pPr>
      <w:r>
        <w:rPr>
          <w:b/>
          <w:bCs/>
          <w:szCs w:val="32"/>
        </w:rPr>
        <w:t>有关说明：</w:t>
      </w:r>
      <w:r>
        <w:rPr>
          <w:szCs w:val="32"/>
        </w:rPr>
        <w:t>支持项目1项，</w:t>
      </w:r>
      <w:r>
        <w:rPr>
          <w:kern w:val="0"/>
          <w:szCs w:val="32"/>
        </w:rPr>
        <w:t>支持经费不超过</w:t>
      </w:r>
      <w:r>
        <w:rPr>
          <w:szCs w:val="32"/>
        </w:rPr>
        <w:t>100万元，实施周期3年。鼓励产学研联合申报。</w:t>
      </w:r>
    </w:p>
    <w:p>
      <w:pPr>
        <w:spacing w:line="560" w:lineRule="exact"/>
        <w:ind w:firstLine="630"/>
        <w:rPr>
          <w:rFonts w:eastAsia="楷体_GB2312"/>
          <w:szCs w:val="32"/>
        </w:rPr>
      </w:pPr>
      <w:bookmarkStart w:id="36" w:name="_Toc2366"/>
      <w:r>
        <w:rPr>
          <w:rFonts w:eastAsia="楷体_GB2312"/>
          <w:szCs w:val="32"/>
        </w:rPr>
        <w:t>（二）社会安全</w:t>
      </w:r>
      <w:bookmarkEnd w:id="36"/>
      <w:r>
        <w:rPr>
          <w:rFonts w:eastAsia="楷体_GB2312"/>
          <w:szCs w:val="32"/>
        </w:rPr>
        <w:t>。</w:t>
      </w:r>
    </w:p>
    <w:p>
      <w:pPr>
        <w:spacing w:line="560" w:lineRule="exact"/>
        <w:ind w:firstLine="630"/>
        <w:rPr>
          <w:szCs w:val="32"/>
        </w:rPr>
      </w:pPr>
      <w:bookmarkStart w:id="37" w:name="_Toc20081"/>
      <w:r>
        <w:rPr>
          <w:szCs w:val="32"/>
        </w:rPr>
        <w:t>四川省重点场所人脸识别与人像比对系统研发与建设</w:t>
      </w:r>
      <w:bookmarkEnd w:id="37"/>
      <w:r>
        <w:rPr>
          <w:szCs w:val="32"/>
        </w:rPr>
        <w:t>。</w:t>
      </w:r>
    </w:p>
    <w:p>
      <w:pPr>
        <w:snapToGrid w:val="0"/>
        <w:spacing w:line="560" w:lineRule="exact"/>
        <w:ind w:firstLine="640" w:firstLineChars="200"/>
        <w:rPr>
          <w:szCs w:val="32"/>
        </w:rPr>
      </w:pPr>
      <w:r>
        <w:rPr>
          <w:szCs w:val="32"/>
        </w:rPr>
        <w:t>将人像生物识别、图像分析处理技术与二代身份证非接触读取系统联合应用于公安实际业务；建设一套针对公共场所安全的侦控、协防预警平台；建立反恐数据库，并将特征数据库应用到大范围人群中进行嫌疑人的身份识别，与省级人口相片比对平台共同构成省级人像识别应用体系，共同为终端用户和各警种应用提供服务。</w:t>
      </w:r>
    </w:p>
    <w:p>
      <w:pPr>
        <w:snapToGrid w:val="0"/>
        <w:spacing w:line="560" w:lineRule="exact"/>
        <w:ind w:firstLine="641" w:firstLineChars="200"/>
        <w:rPr>
          <w:szCs w:val="32"/>
        </w:rPr>
      </w:pPr>
      <w:r>
        <w:rPr>
          <w:b/>
          <w:bCs/>
          <w:szCs w:val="32"/>
        </w:rPr>
        <w:t>有关说明：</w:t>
      </w:r>
      <w:r>
        <w:rPr>
          <w:szCs w:val="32"/>
        </w:rPr>
        <w:t>支持项目1项，</w:t>
      </w:r>
      <w:r>
        <w:rPr>
          <w:kern w:val="0"/>
          <w:szCs w:val="32"/>
        </w:rPr>
        <w:t>支持经费不超过</w:t>
      </w:r>
      <w:r>
        <w:rPr>
          <w:szCs w:val="32"/>
        </w:rPr>
        <w:t>50万元，实施周期2年。鼓励产学研联合申报。</w:t>
      </w:r>
    </w:p>
    <w:p>
      <w:pPr>
        <w:spacing w:line="560" w:lineRule="exact"/>
        <w:ind w:firstLine="630"/>
        <w:rPr>
          <w:rFonts w:hint="eastAsia" w:eastAsia="楷体_GB2312"/>
          <w:szCs w:val="32"/>
        </w:rPr>
      </w:pPr>
      <w:bookmarkStart w:id="38" w:name="_Toc27287"/>
      <w:r>
        <w:rPr>
          <w:rFonts w:eastAsia="楷体_GB2312"/>
          <w:szCs w:val="32"/>
        </w:rPr>
        <w:t>（三）食品安全</w:t>
      </w:r>
      <w:bookmarkEnd w:id="38"/>
      <w:r>
        <w:rPr>
          <w:rFonts w:eastAsia="楷体_GB2312"/>
          <w:szCs w:val="32"/>
        </w:rPr>
        <w:t>。</w:t>
      </w:r>
      <w:bookmarkStart w:id="39" w:name="_Toc6193"/>
    </w:p>
    <w:p>
      <w:pPr>
        <w:spacing w:line="560" w:lineRule="exact"/>
        <w:ind w:firstLine="630"/>
        <w:rPr>
          <w:szCs w:val="32"/>
        </w:rPr>
      </w:pPr>
      <w:r>
        <w:rPr>
          <w:szCs w:val="32"/>
        </w:rPr>
        <w:t>食品中化学有毒有害物质监控平台建设</w:t>
      </w:r>
      <w:bookmarkEnd w:id="39"/>
      <w:r>
        <w:rPr>
          <w:szCs w:val="32"/>
        </w:rPr>
        <w:t>。</w:t>
      </w:r>
    </w:p>
    <w:p>
      <w:pPr>
        <w:snapToGrid w:val="0"/>
        <w:spacing w:line="560" w:lineRule="exact"/>
        <w:ind w:firstLine="640" w:firstLineChars="200"/>
        <w:rPr>
          <w:szCs w:val="32"/>
        </w:rPr>
      </w:pPr>
      <w:r>
        <w:rPr>
          <w:szCs w:val="32"/>
        </w:rPr>
        <w:t>支持建立500种以上非食用物质、兽药标准品数据库；1300种以上化学农药有效成分的标准品数据库；400种以上保健食品和中成药可能添加化学有效成分的对照品数据库。建立全面的食品中非食用物质、兽药残留、农药残留高通量智能定性筛查和精确定量测试方法体系，实现对目标化合物和非目标化合物的全面筛查，增强监管的靶向性，从技术上对不法食品生产者产生巨大的威慑力，确保食品质量安全。</w:t>
      </w:r>
    </w:p>
    <w:p>
      <w:pPr>
        <w:snapToGrid w:val="0"/>
        <w:spacing w:line="560" w:lineRule="exact"/>
        <w:ind w:firstLine="641" w:firstLineChars="200"/>
        <w:rPr>
          <w:szCs w:val="32"/>
        </w:rPr>
      </w:pPr>
      <w:r>
        <w:rPr>
          <w:b/>
          <w:bCs/>
          <w:szCs w:val="32"/>
        </w:rPr>
        <w:t>有关说明：</w:t>
      </w:r>
      <w:r>
        <w:rPr>
          <w:szCs w:val="32"/>
        </w:rPr>
        <w:t>支持项目1项，</w:t>
      </w:r>
      <w:r>
        <w:rPr>
          <w:kern w:val="0"/>
          <w:szCs w:val="32"/>
        </w:rPr>
        <w:t>支持经费不超过</w:t>
      </w:r>
      <w:r>
        <w:rPr>
          <w:szCs w:val="32"/>
        </w:rPr>
        <w:t>100万元，实施周期2年。鼓励产学研联合申报。</w:t>
      </w:r>
    </w:p>
    <w:p>
      <w:pPr>
        <w:spacing w:line="560" w:lineRule="exact"/>
        <w:ind w:firstLine="630"/>
        <w:rPr>
          <w:rFonts w:eastAsia="楷体_GB2312"/>
          <w:szCs w:val="32"/>
        </w:rPr>
      </w:pPr>
      <w:bookmarkStart w:id="40" w:name="_Toc1595"/>
      <w:r>
        <w:rPr>
          <w:rFonts w:eastAsia="楷体_GB2312"/>
          <w:szCs w:val="32"/>
        </w:rPr>
        <w:t>（四）生产安全</w:t>
      </w:r>
      <w:bookmarkEnd w:id="40"/>
      <w:r>
        <w:rPr>
          <w:rFonts w:eastAsia="楷体_GB2312"/>
          <w:szCs w:val="32"/>
        </w:rPr>
        <w:t>。</w:t>
      </w:r>
    </w:p>
    <w:p>
      <w:pPr>
        <w:spacing w:line="560" w:lineRule="exact"/>
        <w:ind w:firstLine="630"/>
        <w:rPr>
          <w:szCs w:val="32"/>
        </w:rPr>
      </w:pPr>
      <w:bookmarkStart w:id="41" w:name="_Toc20078"/>
      <w:bookmarkStart w:id="42" w:name="_Toc6944"/>
      <w:r>
        <w:rPr>
          <w:szCs w:val="32"/>
        </w:rPr>
        <w:t>超高层建筑电梯辅助人员疏散系统安全性研究</w:t>
      </w:r>
      <w:bookmarkEnd w:id="41"/>
      <w:r>
        <w:rPr>
          <w:szCs w:val="32"/>
        </w:rPr>
        <w:t>。</w:t>
      </w:r>
    </w:p>
    <w:p>
      <w:pPr>
        <w:snapToGrid w:val="0"/>
        <w:spacing w:line="560" w:lineRule="exact"/>
        <w:ind w:firstLine="640" w:firstLineChars="200"/>
        <w:rPr>
          <w:szCs w:val="32"/>
        </w:rPr>
      </w:pPr>
      <w:r>
        <w:rPr>
          <w:szCs w:val="32"/>
        </w:rPr>
        <w:t>结合目前国内外超高层建筑设计经验及相关研究成果，开展专项的电梯辅助疏散研究，研究超高的建筑高度和超大的建筑体量对人员疏散的影响，分析采用电梯辅助疏散用以缓解人员垂直疏散的压力，缩短整体疏散时间，并对辅助疏散电梯设计参数，为如何制定疏散方案、电梯设计应遵循的原则和参数指标以及具体操作提供依据。</w:t>
      </w:r>
    </w:p>
    <w:p>
      <w:pPr>
        <w:snapToGrid w:val="0"/>
        <w:spacing w:line="560" w:lineRule="exact"/>
        <w:ind w:firstLine="641" w:firstLineChars="200"/>
        <w:rPr>
          <w:szCs w:val="32"/>
        </w:rPr>
      </w:pPr>
      <w:r>
        <w:rPr>
          <w:b/>
          <w:bCs/>
          <w:szCs w:val="32"/>
        </w:rPr>
        <w:t>有关说明：</w:t>
      </w:r>
      <w:r>
        <w:rPr>
          <w:szCs w:val="32"/>
        </w:rPr>
        <w:t>支持项目1项，</w:t>
      </w:r>
      <w:r>
        <w:rPr>
          <w:kern w:val="0"/>
          <w:szCs w:val="32"/>
        </w:rPr>
        <w:t>支持经费不超过</w:t>
      </w:r>
      <w:r>
        <w:rPr>
          <w:szCs w:val="32"/>
        </w:rPr>
        <w:t>100万元，实施周期2年。要求企业牵头，鼓励产学研联合申报，自筹经费与申请经费比例不低于2:1。</w:t>
      </w:r>
      <w:bookmarkEnd w:id="42"/>
      <w:bookmarkStart w:id="43" w:name="_Toc3220"/>
    </w:p>
    <w:p>
      <w:pPr>
        <w:snapToGrid w:val="0"/>
        <w:spacing w:line="560" w:lineRule="exact"/>
        <w:ind w:firstLine="640" w:firstLineChars="200"/>
        <w:rPr>
          <w:rFonts w:eastAsia="黑体"/>
          <w:szCs w:val="32"/>
        </w:rPr>
      </w:pPr>
      <w:r>
        <w:rPr>
          <w:rFonts w:eastAsia="黑体"/>
          <w:szCs w:val="32"/>
        </w:rPr>
        <w:t>九、文化旅游与特色城镇</w:t>
      </w:r>
      <w:bookmarkEnd w:id="43"/>
    </w:p>
    <w:p>
      <w:pPr>
        <w:spacing w:line="560" w:lineRule="exact"/>
        <w:ind w:firstLine="630"/>
        <w:rPr>
          <w:rFonts w:eastAsia="楷体_GB2312"/>
          <w:szCs w:val="32"/>
        </w:rPr>
      </w:pPr>
      <w:bookmarkStart w:id="44" w:name="_Toc32431"/>
      <w:r>
        <w:rPr>
          <w:rFonts w:eastAsia="楷体_GB2312"/>
          <w:szCs w:val="32"/>
        </w:rPr>
        <w:t>（一）特色小城镇文化与智慧旅游相结合的技术应用示范</w:t>
      </w:r>
      <w:bookmarkEnd w:id="44"/>
      <w:r>
        <w:rPr>
          <w:rFonts w:eastAsia="楷体_GB2312"/>
          <w:szCs w:val="32"/>
        </w:rPr>
        <w:t>。</w:t>
      </w:r>
    </w:p>
    <w:p>
      <w:pPr>
        <w:snapToGrid w:val="0"/>
        <w:spacing w:line="560" w:lineRule="exact"/>
        <w:ind w:firstLine="640" w:firstLineChars="200"/>
        <w:rPr>
          <w:szCs w:val="32"/>
        </w:rPr>
      </w:pPr>
      <w:r>
        <w:rPr>
          <w:szCs w:val="32"/>
        </w:rPr>
        <w:t>针对特色小城镇（旅游）“文化十旅游”双轮驱动特征，研究资源环境、智慧旅游体验、公共安全、智慧生态等智能化综合管理等面临的难点、瓶颈、关键问题，分析和借鉴国内外相关技术的优势和存在的问题，采用具有自主知识产权的核心技术开展攻关，并选取有条件和资源优势的地区进行应用示范，形成可供全省、全国特色小城镇建设智能化管理核心关键技术的可推广的成果。</w:t>
      </w:r>
    </w:p>
    <w:p>
      <w:pPr>
        <w:widowControl/>
        <w:spacing w:line="560" w:lineRule="exact"/>
        <w:ind w:firstLine="630"/>
        <w:rPr>
          <w:kern w:val="0"/>
          <w:szCs w:val="32"/>
        </w:rPr>
      </w:pPr>
      <w:r>
        <w:rPr>
          <w:b/>
          <w:bCs/>
          <w:szCs w:val="32"/>
        </w:rPr>
        <w:t>有关说明</w:t>
      </w:r>
      <w:r>
        <w:rPr>
          <w:szCs w:val="32"/>
        </w:rPr>
        <w:t>：支持项目2项，</w:t>
      </w:r>
      <w:r>
        <w:rPr>
          <w:kern w:val="0"/>
          <w:szCs w:val="32"/>
        </w:rPr>
        <w:t>支持经费每项不超过</w:t>
      </w:r>
      <w:r>
        <w:rPr>
          <w:szCs w:val="32"/>
        </w:rPr>
        <w:t>100万元，实施周期2年。要求企业牵头，鼓励产学研联合申报，</w:t>
      </w:r>
      <w:r>
        <w:rPr>
          <w:kern w:val="0"/>
          <w:szCs w:val="32"/>
        </w:rPr>
        <w:t>自筹经费与申请经费比例不低于2:1。</w:t>
      </w:r>
    </w:p>
    <w:p>
      <w:pPr>
        <w:snapToGrid w:val="0"/>
        <w:spacing w:line="560" w:lineRule="exact"/>
        <w:ind w:firstLine="640" w:firstLineChars="200"/>
        <w:rPr>
          <w:rFonts w:eastAsia="楷体_GB2312"/>
          <w:szCs w:val="32"/>
        </w:rPr>
      </w:pPr>
      <w:r>
        <w:rPr>
          <w:rFonts w:eastAsia="楷体_GB2312"/>
          <w:szCs w:val="32"/>
        </w:rPr>
        <w:t>（二）民族地区生态旅游综合能力提升研究与示范。</w:t>
      </w:r>
    </w:p>
    <w:p>
      <w:pPr>
        <w:snapToGrid w:val="0"/>
        <w:spacing w:line="560" w:lineRule="exact"/>
        <w:ind w:firstLine="640" w:firstLineChars="200"/>
        <w:rPr>
          <w:kern w:val="0"/>
          <w:szCs w:val="32"/>
        </w:rPr>
      </w:pPr>
      <w:r>
        <w:rPr>
          <w:bCs/>
          <w:kern w:val="0"/>
          <w:szCs w:val="32"/>
        </w:rPr>
        <w:t>支持对</w:t>
      </w:r>
      <w:r>
        <w:rPr>
          <w:rFonts w:eastAsia="楷体_GB2312"/>
          <w:szCs w:val="32"/>
        </w:rPr>
        <w:t>民族地区</w:t>
      </w:r>
      <w:r>
        <w:rPr>
          <w:bCs/>
          <w:kern w:val="0"/>
          <w:szCs w:val="32"/>
        </w:rPr>
        <w:t>生态旅游资源潜力调查挖掘、旅游产业运营模式转型升级、主要景区景点旅游容量控制及客流平衡引导、淡旺季全时旅游开发、乡村旅游扶贫攻坚模式、生态旅游发展与环境保护、关键空间节点辨识、多点多极创建A级景区、智慧旅游体系建设以及生物产品、民俗、文化等特色生态旅游产品开发等进行调研、分析和研究，为</w:t>
      </w:r>
      <w:r>
        <w:rPr>
          <w:rFonts w:eastAsia="楷体_GB2312"/>
          <w:szCs w:val="32"/>
        </w:rPr>
        <w:t>民族地区</w:t>
      </w:r>
      <w:r>
        <w:rPr>
          <w:bCs/>
          <w:kern w:val="0"/>
          <w:szCs w:val="32"/>
        </w:rPr>
        <w:t>全域生态旅游发展建设提供强有力的科技支撑</w:t>
      </w:r>
      <w:r>
        <w:rPr>
          <w:kern w:val="0"/>
          <w:szCs w:val="32"/>
        </w:rPr>
        <w:t>。</w:t>
      </w:r>
    </w:p>
    <w:p>
      <w:pPr>
        <w:snapToGrid w:val="0"/>
        <w:spacing w:line="560" w:lineRule="exact"/>
        <w:ind w:firstLine="641" w:firstLineChars="200"/>
        <w:rPr>
          <w:szCs w:val="32"/>
        </w:rPr>
      </w:pPr>
      <w:r>
        <w:rPr>
          <w:b/>
          <w:bCs/>
          <w:szCs w:val="32"/>
        </w:rPr>
        <w:t>有关说明：</w:t>
      </w:r>
      <w:r>
        <w:rPr>
          <w:szCs w:val="32"/>
        </w:rPr>
        <w:t>支持项目1项，</w:t>
      </w:r>
      <w:r>
        <w:rPr>
          <w:kern w:val="0"/>
          <w:szCs w:val="32"/>
        </w:rPr>
        <w:t>支持经费不超过</w:t>
      </w:r>
      <w:r>
        <w:rPr>
          <w:szCs w:val="32"/>
        </w:rPr>
        <w:t>200万元，实施周期2年。要求企业牵头，鼓励产学研联合申报，自筹经费与申请经费比例不低于2:1。</w:t>
      </w:r>
    </w:p>
    <w:p>
      <w:pPr>
        <w:snapToGrid w:val="0"/>
        <w:spacing w:line="560" w:lineRule="exact"/>
        <w:ind w:firstLine="640" w:firstLineChars="200"/>
        <w:rPr>
          <w:rFonts w:eastAsia="黑体"/>
          <w:szCs w:val="32"/>
        </w:rPr>
      </w:pPr>
      <w:r>
        <w:rPr>
          <w:rFonts w:eastAsia="黑体"/>
          <w:szCs w:val="32"/>
        </w:rPr>
        <w:t>十、可持续发展实验区</w:t>
      </w:r>
    </w:p>
    <w:p>
      <w:pPr>
        <w:spacing w:line="560" w:lineRule="exact"/>
        <w:ind w:firstLine="630"/>
        <w:rPr>
          <w:rFonts w:eastAsia="楷体_GB2312"/>
          <w:szCs w:val="32"/>
        </w:rPr>
      </w:pPr>
      <w:r>
        <w:rPr>
          <w:rFonts w:eastAsia="楷体_GB2312"/>
          <w:szCs w:val="32"/>
        </w:rPr>
        <w:t>（一）智慧旅游业关键技术集成与示范研究。</w:t>
      </w:r>
    </w:p>
    <w:p>
      <w:pPr>
        <w:snapToGrid w:val="0"/>
        <w:spacing w:line="560" w:lineRule="exact"/>
        <w:ind w:firstLine="640" w:firstLineChars="200"/>
        <w:rPr>
          <w:szCs w:val="32"/>
        </w:rPr>
      </w:pPr>
      <w:r>
        <w:rPr>
          <w:szCs w:val="32"/>
        </w:rPr>
        <w:t>针对部分可持续发展实验区旅游资源丰富，旅游业发展空间较大，但旅游产业发展整体水平不高的现状，支持可持续发展实验区与国内外高校、科研机构和企业联合，以推动当地旅游业集成运用移动云计算、互联网以及各种便携终端上网设备等新技术新设备，提升旅游业管理运行效率，促进游客与网络实时互动，全面提升旅游业服务发展水平为重点，研究实施适合当地旅游业发展的智慧旅游业关键技术集成与示范研究项目。</w:t>
      </w:r>
    </w:p>
    <w:p>
      <w:pPr>
        <w:spacing w:line="560" w:lineRule="exact"/>
        <w:ind w:firstLine="641" w:firstLineChars="200"/>
        <w:rPr>
          <w:bCs/>
          <w:kern w:val="0"/>
          <w:szCs w:val="32"/>
        </w:rPr>
      </w:pPr>
      <w:r>
        <w:rPr>
          <w:b/>
          <w:bCs/>
          <w:kern w:val="0"/>
          <w:szCs w:val="32"/>
        </w:rPr>
        <w:t>有关说明：</w:t>
      </w:r>
      <w:r>
        <w:rPr>
          <w:bCs/>
          <w:kern w:val="0"/>
          <w:szCs w:val="32"/>
        </w:rPr>
        <w:t>支持项目1</w:t>
      </w:r>
      <w:r>
        <w:rPr>
          <w:szCs w:val="32"/>
        </w:rPr>
        <w:t>项</w:t>
      </w:r>
      <w:r>
        <w:rPr>
          <w:kern w:val="0"/>
          <w:szCs w:val="32"/>
        </w:rPr>
        <w:t>支持经费不超过</w:t>
      </w:r>
      <w:r>
        <w:rPr>
          <w:bCs/>
          <w:kern w:val="0"/>
          <w:szCs w:val="32"/>
        </w:rPr>
        <w:t>50万元，限可持续发展实验区组织申报，鼓励产学研联合申报。</w:t>
      </w:r>
    </w:p>
    <w:p>
      <w:pPr>
        <w:spacing w:line="560" w:lineRule="exact"/>
        <w:ind w:firstLine="630"/>
        <w:rPr>
          <w:rFonts w:eastAsia="楷体_GB2312"/>
          <w:szCs w:val="32"/>
        </w:rPr>
      </w:pPr>
      <w:r>
        <w:rPr>
          <w:rFonts w:eastAsia="楷体_GB2312"/>
          <w:szCs w:val="32"/>
        </w:rPr>
        <w:t>（二）区域生态保护与环境治理关键技术集成与示范研究。</w:t>
      </w:r>
    </w:p>
    <w:p>
      <w:pPr>
        <w:spacing w:line="560" w:lineRule="exact"/>
        <w:ind w:firstLine="640" w:firstLineChars="200"/>
        <w:rPr>
          <w:bCs/>
          <w:kern w:val="0"/>
          <w:szCs w:val="32"/>
        </w:rPr>
      </w:pPr>
      <w:r>
        <w:rPr>
          <w:bCs/>
          <w:kern w:val="0"/>
          <w:szCs w:val="32"/>
        </w:rPr>
        <w:t>针对部分长江上游可持续实验区生态脆弱和面临的环境污染问题，支持可持续发展实验区与国内外高校、科研机构和企业联合，以推动当地生态保护和环境治理，保障当地生态和环境安全，提高人民生活品质为重点，支持可持续发展实验区与国内外高校、科研机构和企业联合，研究实施区域生态保护与环境治理关键技术集成与示范研究项目。</w:t>
      </w:r>
    </w:p>
    <w:p>
      <w:pPr>
        <w:spacing w:line="560" w:lineRule="exact"/>
        <w:ind w:firstLine="641" w:firstLineChars="200"/>
        <w:rPr>
          <w:bCs/>
          <w:kern w:val="0"/>
          <w:szCs w:val="32"/>
        </w:rPr>
      </w:pPr>
      <w:r>
        <w:rPr>
          <w:b/>
          <w:bCs/>
          <w:kern w:val="0"/>
          <w:szCs w:val="32"/>
        </w:rPr>
        <w:t>有关说明：</w:t>
      </w:r>
      <w:r>
        <w:rPr>
          <w:bCs/>
          <w:kern w:val="0"/>
          <w:szCs w:val="32"/>
        </w:rPr>
        <w:t>支持项目4</w:t>
      </w:r>
      <w:r>
        <w:rPr>
          <w:szCs w:val="32"/>
        </w:rPr>
        <w:t>项</w:t>
      </w:r>
      <w:r>
        <w:rPr>
          <w:bCs/>
          <w:kern w:val="0"/>
          <w:szCs w:val="32"/>
        </w:rPr>
        <w:t>，每个项目</w:t>
      </w:r>
      <w:r>
        <w:rPr>
          <w:kern w:val="0"/>
          <w:szCs w:val="32"/>
        </w:rPr>
        <w:t>支持经费</w:t>
      </w:r>
      <w:r>
        <w:rPr>
          <w:bCs/>
          <w:kern w:val="0"/>
          <w:szCs w:val="32"/>
        </w:rPr>
        <w:t>不超过50万元，限可持续发展实验区组织申报，鼓励产学研联合申报。</w:t>
      </w:r>
    </w:p>
    <w:p>
      <w:pPr>
        <w:spacing w:line="560" w:lineRule="exact"/>
        <w:ind w:firstLine="630"/>
        <w:rPr>
          <w:rFonts w:eastAsia="楷体_GB2312"/>
          <w:szCs w:val="32"/>
        </w:rPr>
      </w:pPr>
      <w:r>
        <w:rPr>
          <w:rFonts w:eastAsia="楷体_GB2312"/>
          <w:szCs w:val="32"/>
        </w:rPr>
        <w:t>（三）可持续发展实验区温室气体排放清单编制与低碳园区建设示范。</w:t>
      </w:r>
    </w:p>
    <w:p>
      <w:pPr>
        <w:spacing w:line="560" w:lineRule="exact"/>
        <w:ind w:firstLine="640" w:firstLineChars="200"/>
        <w:rPr>
          <w:bCs/>
          <w:kern w:val="0"/>
          <w:szCs w:val="32"/>
        </w:rPr>
      </w:pPr>
      <w:r>
        <w:rPr>
          <w:bCs/>
          <w:kern w:val="0"/>
          <w:szCs w:val="32"/>
        </w:rPr>
        <w:t>针对全省可持续发展实验区目前尚未开展温室气体排放清单编制工作的现状，为推进可持续发展实验区应对气候变化能力的提升和培养低碳发展意识为重点，支持有条件的可持续发展实验联合省21世纪议程管理中心共同开展可持续发展实验区温室气体排放清单编制，通过编制温室气体清单，弄清区域碳排放源及排放重点，在此基础上以当地工业园区和农业园区为重点，推动低碳园区建设示范。</w:t>
      </w:r>
    </w:p>
    <w:p>
      <w:pPr>
        <w:spacing w:line="560" w:lineRule="exact"/>
        <w:ind w:firstLine="640" w:firstLineChars="200"/>
        <w:rPr>
          <w:bCs/>
          <w:kern w:val="0"/>
          <w:szCs w:val="32"/>
        </w:rPr>
      </w:pPr>
      <w:r>
        <w:rPr>
          <w:bCs/>
          <w:kern w:val="0"/>
          <w:szCs w:val="32"/>
        </w:rPr>
        <w:t>有关说明：支持项目2</w:t>
      </w:r>
      <w:r>
        <w:rPr>
          <w:szCs w:val="32"/>
        </w:rPr>
        <w:t>项</w:t>
      </w:r>
      <w:r>
        <w:rPr>
          <w:bCs/>
          <w:kern w:val="0"/>
          <w:szCs w:val="32"/>
        </w:rPr>
        <w:t>，每个项目支持经费不超过50万元，以省21世纪议程管理中心为主体，联合可持续发展实验区申报。</w:t>
      </w:r>
    </w:p>
    <w:p>
      <w:pPr>
        <w:spacing w:line="560" w:lineRule="exact"/>
        <w:ind w:firstLine="195" w:firstLineChars="61"/>
        <w:rPr>
          <w:bCs/>
          <w:kern w:val="0"/>
          <w:szCs w:val="32"/>
        </w:rPr>
      </w:pPr>
    </w:p>
    <w:p>
      <w:pPr>
        <w:jc w:val="center"/>
        <w:rPr>
          <w:rFonts w:eastAsia="方正小标宋_GBK"/>
          <w:szCs w:val="32"/>
        </w:rPr>
      </w:pPr>
      <w:r>
        <w:rPr>
          <w:rFonts w:eastAsia="方正小标宋_GBK"/>
          <w:szCs w:val="32"/>
        </w:rPr>
        <w:t xml:space="preserve">第二部分  </w:t>
      </w:r>
    </w:p>
    <w:p>
      <w:pPr>
        <w:jc w:val="center"/>
        <w:rPr>
          <w:rFonts w:eastAsia="方正小标宋_GBK"/>
          <w:szCs w:val="32"/>
        </w:rPr>
      </w:pPr>
      <w:r>
        <w:rPr>
          <w:rFonts w:eastAsia="方正小标宋_GBK"/>
          <w:szCs w:val="32"/>
        </w:rPr>
        <w:t>社会发展领域重点项目申报指南</w:t>
      </w:r>
    </w:p>
    <w:p>
      <w:pPr>
        <w:autoSpaceDE w:val="0"/>
        <w:autoSpaceDN w:val="0"/>
        <w:adjustRightInd w:val="0"/>
        <w:snapToGrid w:val="0"/>
        <w:spacing w:line="560" w:lineRule="exact"/>
        <w:ind w:firstLine="862"/>
        <w:rPr>
          <w:kern w:val="0"/>
          <w:szCs w:val="32"/>
        </w:rPr>
      </w:pPr>
    </w:p>
    <w:p>
      <w:pPr>
        <w:autoSpaceDE w:val="0"/>
        <w:autoSpaceDN w:val="0"/>
        <w:adjustRightInd w:val="0"/>
        <w:snapToGrid w:val="0"/>
        <w:spacing w:line="560" w:lineRule="exact"/>
        <w:ind w:firstLine="630"/>
        <w:rPr>
          <w:bCs/>
          <w:kern w:val="0"/>
          <w:szCs w:val="32"/>
        </w:rPr>
      </w:pPr>
      <w:r>
        <w:rPr>
          <w:b/>
          <w:bCs/>
          <w:kern w:val="0"/>
          <w:szCs w:val="32"/>
        </w:rPr>
        <w:t>总体要求：</w:t>
      </w:r>
      <w:r>
        <w:rPr>
          <w:bCs/>
          <w:kern w:val="0"/>
          <w:szCs w:val="32"/>
        </w:rPr>
        <w:t>2018年，面向大专院校、科研院所和科技型中小企业，围绕省委、省政府全面创新改革试验“九张清单”落实，以增强自主创新能力为核心，发挥省级重点研发计划的引导作用，注重解决当前和未来一段时间市场需求和产业升级的新技术、新材料、新产品、新工艺等应用研究和集成示范，注重与应用基础研究的衔接，注重和扩大在创新中科技人员的自主权和鼓励自由探索，形成一批面向社会发展领域的科技成果。</w:t>
      </w:r>
    </w:p>
    <w:p>
      <w:pPr>
        <w:autoSpaceDE w:val="0"/>
        <w:autoSpaceDN w:val="0"/>
        <w:adjustRightInd w:val="0"/>
        <w:snapToGrid w:val="0"/>
        <w:spacing w:line="560" w:lineRule="exact"/>
        <w:ind w:firstLine="630"/>
        <w:rPr>
          <w:b/>
          <w:bCs/>
          <w:kern w:val="0"/>
          <w:szCs w:val="32"/>
        </w:rPr>
      </w:pPr>
      <w:r>
        <w:rPr>
          <w:b/>
          <w:bCs/>
          <w:kern w:val="0"/>
          <w:szCs w:val="32"/>
        </w:rPr>
        <w:t>资金支持方式：</w:t>
      </w:r>
      <w:r>
        <w:rPr>
          <w:kern w:val="0"/>
          <w:szCs w:val="32"/>
        </w:rPr>
        <w:t>专项资金采取前补助支持方式。</w:t>
      </w:r>
    </w:p>
    <w:p>
      <w:pPr>
        <w:autoSpaceDE w:val="0"/>
        <w:autoSpaceDN w:val="0"/>
        <w:adjustRightInd w:val="0"/>
        <w:snapToGrid w:val="0"/>
        <w:spacing w:line="560" w:lineRule="exact"/>
        <w:ind w:firstLine="630"/>
        <w:rPr>
          <w:bCs/>
          <w:kern w:val="0"/>
          <w:szCs w:val="32"/>
        </w:rPr>
      </w:pPr>
      <w:r>
        <w:rPr>
          <w:b/>
          <w:bCs/>
          <w:kern w:val="0"/>
          <w:szCs w:val="32"/>
        </w:rPr>
        <w:t>支持额度：</w:t>
      </w:r>
      <w:r>
        <w:rPr>
          <w:bCs/>
          <w:kern w:val="0"/>
          <w:szCs w:val="32"/>
        </w:rPr>
        <w:t>大专院校、科研院所申报的项目，支持经费不超过20万元；企业申报的项目，支持经费不超过30万元。</w:t>
      </w:r>
    </w:p>
    <w:p>
      <w:pPr>
        <w:autoSpaceDE w:val="0"/>
        <w:autoSpaceDN w:val="0"/>
        <w:adjustRightInd w:val="0"/>
        <w:snapToGrid w:val="0"/>
        <w:spacing w:line="560" w:lineRule="exact"/>
        <w:ind w:firstLine="630"/>
        <w:rPr>
          <w:bCs/>
          <w:kern w:val="0"/>
          <w:szCs w:val="32"/>
        </w:rPr>
      </w:pPr>
      <w:r>
        <w:rPr>
          <w:b/>
          <w:bCs/>
          <w:kern w:val="0"/>
          <w:szCs w:val="32"/>
        </w:rPr>
        <w:t>实施周期</w:t>
      </w:r>
      <w:r>
        <w:rPr>
          <w:bCs/>
          <w:kern w:val="0"/>
          <w:szCs w:val="32"/>
        </w:rPr>
        <w:t>：一般为两年，2018年1月至2019年12月。</w:t>
      </w:r>
    </w:p>
    <w:p>
      <w:pPr>
        <w:autoSpaceDE w:val="0"/>
        <w:autoSpaceDN w:val="0"/>
        <w:adjustRightInd w:val="0"/>
        <w:snapToGrid w:val="0"/>
        <w:spacing w:line="560" w:lineRule="exact"/>
        <w:ind w:firstLine="630"/>
        <w:rPr>
          <w:bCs/>
          <w:kern w:val="0"/>
          <w:szCs w:val="32"/>
        </w:rPr>
      </w:pPr>
      <w:r>
        <w:rPr>
          <w:b/>
          <w:bCs/>
          <w:kern w:val="0"/>
          <w:szCs w:val="32"/>
        </w:rPr>
        <w:t>自筹经费要求：</w:t>
      </w:r>
      <w:r>
        <w:rPr>
          <w:bCs/>
          <w:kern w:val="0"/>
          <w:szCs w:val="32"/>
        </w:rPr>
        <w:t>企业申报的项目，自筹经费与申请经费比不低于1:1，大专院校、科研院所申报的项目可不要求自筹经费。</w:t>
      </w:r>
    </w:p>
    <w:p>
      <w:pPr>
        <w:spacing w:line="560" w:lineRule="exact"/>
        <w:ind w:firstLine="630"/>
        <w:rPr>
          <w:bCs/>
          <w:kern w:val="0"/>
          <w:szCs w:val="32"/>
        </w:rPr>
      </w:pPr>
      <w:r>
        <w:rPr>
          <w:b/>
          <w:kern w:val="0"/>
          <w:szCs w:val="32"/>
        </w:rPr>
        <w:t>重点领域：</w:t>
      </w:r>
      <w:r>
        <w:rPr>
          <w:bCs/>
          <w:kern w:val="0"/>
          <w:szCs w:val="32"/>
        </w:rPr>
        <w:t>药物研发、医疗器械、中医药、临床医学与预防医学、资源保护与综合利用、环境治理、生态保护、公共安全、文化旅游等。</w:t>
      </w:r>
    </w:p>
    <w:p>
      <w:pPr>
        <w:spacing w:line="560" w:lineRule="exact"/>
        <w:ind w:firstLine="630"/>
        <w:rPr>
          <w:rFonts w:eastAsia="黑体"/>
          <w:szCs w:val="32"/>
        </w:rPr>
      </w:pPr>
      <w:r>
        <w:rPr>
          <w:rFonts w:eastAsia="黑体"/>
          <w:szCs w:val="32"/>
        </w:rPr>
        <w:t>一、药物研发</w:t>
      </w:r>
    </w:p>
    <w:p>
      <w:pPr>
        <w:spacing w:line="560" w:lineRule="exact"/>
        <w:ind w:firstLine="627"/>
        <w:rPr>
          <w:szCs w:val="32"/>
        </w:rPr>
      </w:pPr>
      <w:r>
        <w:rPr>
          <w:szCs w:val="32"/>
        </w:rPr>
        <w:t>支持候选药物研究开发，医院制剂研究开发，新药研究开发关键技术研究。</w:t>
      </w:r>
    </w:p>
    <w:p>
      <w:pPr>
        <w:spacing w:line="560" w:lineRule="exact"/>
        <w:ind w:firstLine="630"/>
        <w:rPr>
          <w:rFonts w:eastAsia="黑体"/>
          <w:szCs w:val="32"/>
        </w:rPr>
      </w:pPr>
      <w:r>
        <w:rPr>
          <w:rFonts w:eastAsia="黑体"/>
          <w:szCs w:val="32"/>
        </w:rPr>
        <w:t>二、医疗器械</w:t>
      </w:r>
    </w:p>
    <w:p>
      <w:pPr>
        <w:spacing w:line="560" w:lineRule="exact"/>
        <w:ind w:firstLine="627"/>
        <w:rPr>
          <w:szCs w:val="32"/>
        </w:rPr>
      </w:pPr>
      <w:r>
        <w:rPr>
          <w:szCs w:val="32"/>
        </w:rPr>
        <w:t>支持临床需求大的创新医用治疗设备、数字诊疗装备、医用检测设备、检测试剂、中医诊断设备、组织缺损及心血管系统再生修复植入材料研发，相关设计制备工艺关键技术研究。运用数控设计、3D打印等先进技术，围绕功能代偿、生活护理、康复训练等需求开发智能康复辅具。</w:t>
      </w:r>
    </w:p>
    <w:p>
      <w:pPr>
        <w:spacing w:line="560" w:lineRule="exact"/>
        <w:ind w:firstLine="630"/>
        <w:rPr>
          <w:rFonts w:eastAsia="黑体"/>
          <w:szCs w:val="32"/>
        </w:rPr>
      </w:pPr>
      <w:r>
        <w:rPr>
          <w:rFonts w:eastAsia="黑体"/>
          <w:szCs w:val="32"/>
        </w:rPr>
        <w:t>三、中医药</w:t>
      </w:r>
    </w:p>
    <w:p>
      <w:pPr>
        <w:spacing w:line="560" w:lineRule="exact"/>
        <w:ind w:firstLine="627"/>
        <w:rPr>
          <w:szCs w:val="32"/>
        </w:rPr>
      </w:pPr>
      <w:r>
        <w:rPr>
          <w:szCs w:val="32"/>
        </w:rPr>
        <w:t>支持开展中药材规范化种植、植物提取物关键技术及产品研发、中药饮片炮制工艺与质量标准关键共性技术研究；中药质量控制新技术、新方法研究；民族医药的研究；中医药特色资源利用与产品开发研究；医院院内制剂的研发；中医证候的客观化辨识系统研究与应用；中医证候动物模型研究与制作；中医诊疗关键技术的研究；中医运动创伤防治；基于社区的常见病中医药干预推广示范研究；针灸临床优势病症转化示范研究；中医优势病种的多中心临床疗效研究。</w:t>
      </w:r>
    </w:p>
    <w:p>
      <w:pPr>
        <w:spacing w:line="560" w:lineRule="exact"/>
        <w:ind w:firstLine="630"/>
        <w:rPr>
          <w:rFonts w:eastAsia="黑体"/>
          <w:szCs w:val="32"/>
        </w:rPr>
      </w:pPr>
      <w:r>
        <w:rPr>
          <w:rFonts w:eastAsia="黑体"/>
          <w:szCs w:val="32"/>
        </w:rPr>
        <w:t>四、临床医学与预防医学</w:t>
      </w:r>
    </w:p>
    <w:p>
      <w:pPr>
        <w:spacing w:line="560" w:lineRule="exact"/>
        <w:ind w:firstLine="630"/>
        <w:rPr>
          <w:kern w:val="0"/>
          <w:szCs w:val="32"/>
        </w:rPr>
      </w:pPr>
      <w:r>
        <w:rPr>
          <w:kern w:val="0"/>
          <w:szCs w:val="32"/>
        </w:rPr>
        <w:t>内、外科疾病、妇儿疾病、口腔疾病、神经精神疾病等防治关键技术与方案研究；包虫病、血吸虫病等重大地方病防治研究；尘肺病、化学中毒等职业病防治研究；残疾人服务领域关键共性技术和产品开发；血液安全技术研发；基层卫生适宜技术推广示范研究。</w:t>
      </w:r>
    </w:p>
    <w:p>
      <w:pPr>
        <w:spacing w:line="560" w:lineRule="exact"/>
        <w:ind w:firstLine="630"/>
        <w:rPr>
          <w:rFonts w:eastAsia="黑体"/>
          <w:szCs w:val="32"/>
        </w:rPr>
      </w:pPr>
      <w:r>
        <w:rPr>
          <w:rFonts w:eastAsia="黑体"/>
          <w:szCs w:val="32"/>
        </w:rPr>
        <w:t>五、资源保护与综合利用</w:t>
      </w:r>
    </w:p>
    <w:p>
      <w:pPr>
        <w:snapToGrid w:val="0"/>
        <w:spacing w:line="560" w:lineRule="exact"/>
        <w:ind w:firstLine="640" w:firstLineChars="200"/>
        <w:rPr>
          <w:szCs w:val="32"/>
        </w:rPr>
      </w:pPr>
      <w:r>
        <w:rPr>
          <w:szCs w:val="32"/>
        </w:rPr>
        <w:t>支持资源综合利用、珍稀濒危动植物保护、攀西钒钛、稀土、碲、铋等特色优势资源高质利用等技术研究与示范，支持资源动态监测、资源大数据融合等关键技术研究与试点示范。</w:t>
      </w:r>
    </w:p>
    <w:p>
      <w:pPr>
        <w:spacing w:line="560" w:lineRule="exact"/>
        <w:ind w:firstLine="630"/>
        <w:rPr>
          <w:rFonts w:eastAsia="黑体"/>
          <w:szCs w:val="32"/>
        </w:rPr>
      </w:pPr>
      <w:r>
        <w:rPr>
          <w:rFonts w:eastAsia="黑体"/>
          <w:szCs w:val="32"/>
        </w:rPr>
        <w:t>六、环境治理</w:t>
      </w:r>
    </w:p>
    <w:p>
      <w:pPr>
        <w:spacing w:line="560" w:lineRule="exact"/>
        <w:ind w:firstLine="627"/>
        <w:rPr>
          <w:szCs w:val="32"/>
        </w:rPr>
      </w:pPr>
      <w:r>
        <w:rPr>
          <w:szCs w:val="32"/>
        </w:rPr>
        <w:t>支持重点流域水资源监测、典型污染物达标排放、重点行业污水防控、水生态修复等技术研发与示范；土壤环境标准与污染形成机理研究，土壤污染监测预警与风险管控、重金属污染农田土壤安全生产与污染综合防控、修复等技术研究与示范；开展雾霾形成机理、重点大气污染物高效控制、监测预报研究；支持生物技术在环境污染治理研究与示范应用;城镇垃圾综合处理、清洁能源、智慧环保等建设新技术、新工艺研究和应用示范。</w:t>
      </w:r>
    </w:p>
    <w:p>
      <w:pPr>
        <w:spacing w:line="560" w:lineRule="exact"/>
        <w:ind w:firstLine="630"/>
        <w:rPr>
          <w:rFonts w:eastAsia="黑体"/>
          <w:szCs w:val="32"/>
        </w:rPr>
      </w:pPr>
      <w:r>
        <w:rPr>
          <w:rFonts w:eastAsia="黑体"/>
          <w:szCs w:val="32"/>
        </w:rPr>
        <w:t>七、生态保护</w:t>
      </w:r>
    </w:p>
    <w:p>
      <w:pPr>
        <w:snapToGrid w:val="0"/>
        <w:spacing w:line="560" w:lineRule="exact"/>
        <w:ind w:firstLine="640" w:firstLineChars="200"/>
        <w:rPr>
          <w:szCs w:val="32"/>
        </w:rPr>
      </w:pPr>
      <w:r>
        <w:rPr>
          <w:szCs w:val="32"/>
        </w:rPr>
        <w:t>针对长江上游生态屏障建设、生物多样性保护与生态安全的关键问题与重大需求，开展生态脆弱区的恢复与治理、重要生态功能区功能提升、特殊生态敏感区筛查评价、生态修复材料与设备研发等关键技术攻关与试点示范。</w:t>
      </w:r>
    </w:p>
    <w:p>
      <w:pPr>
        <w:spacing w:line="560" w:lineRule="exact"/>
        <w:ind w:firstLine="630"/>
        <w:rPr>
          <w:rFonts w:eastAsia="黑体"/>
          <w:szCs w:val="32"/>
        </w:rPr>
      </w:pPr>
      <w:r>
        <w:rPr>
          <w:rFonts w:eastAsia="黑体"/>
          <w:szCs w:val="32"/>
        </w:rPr>
        <w:t>八、公共安全</w:t>
      </w:r>
    </w:p>
    <w:p>
      <w:pPr>
        <w:snapToGrid w:val="0"/>
        <w:spacing w:line="560" w:lineRule="exact"/>
        <w:ind w:firstLine="640" w:firstLineChars="200"/>
        <w:rPr>
          <w:szCs w:val="32"/>
        </w:rPr>
      </w:pPr>
      <w:r>
        <w:rPr>
          <w:szCs w:val="32"/>
        </w:rPr>
        <w:t>支持自然灾害防控、食品安全（餐厨废弃物无害化处理、冷链物流技术等）、交通安全、安全生产（在危险工序和环节机械化换人、自动化减人及智能信息化应用等）、智慧警务、禁毒防毒等领域的科技创新与示范。</w:t>
      </w:r>
    </w:p>
    <w:p>
      <w:pPr>
        <w:spacing w:line="560" w:lineRule="exact"/>
        <w:ind w:firstLine="630"/>
        <w:rPr>
          <w:rFonts w:eastAsia="黑体"/>
          <w:szCs w:val="32"/>
        </w:rPr>
      </w:pPr>
      <w:r>
        <w:rPr>
          <w:rFonts w:eastAsia="黑体"/>
          <w:szCs w:val="32"/>
        </w:rPr>
        <w:t>九、文化旅游</w:t>
      </w:r>
    </w:p>
    <w:p>
      <w:pPr>
        <w:snapToGrid w:val="0"/>
        <w:spacing w:line="560" w:lineRule="exact"/>
        <w:ind w:firstLine="640" w:firstLineChars="200"/>
        <w:rPr>
          <w:szCs w:val="32"/>
        </w:rPr>
      </w:pPr>
      <w:r>
        <w:rPr>
          <w:szCs w:val="32"/>
        </w:rPr>
        <w:t>支持旅游、文化等领域的科技创新与示范。</w:t>
      </w:r>
    </w:p>
    <w:p>
      <w:pPr>
        <w:snapToGrid w:val="0"/>
        <w:spacing w:line="560" w:lineRule="exact"/>
        <w:ind w:firstLine="640" w:firstLineChars="200"/>
        <w:rPr>
          <w:szCs w:val="32"/>
        </w:rPr>
      </w:pPr>
    </w:p>
    <w:p>
      <w:pPr>
        <w:spacing w:line="560" w:lineRule="exact"/>
        <w:rPr>
          <w:szCs w:val="32"/>
        </w:rPr>
      </w:pPr>
    </w:p>
    <w:p>
      <w:r>
        <w:br w:type="page"/>
      </w:r>
    </w:p>
    <w:p>
      <w:pPr>
        <w:spacing w:line="560" w:lineRule="exact"/>
        <w:jc w:val="center"/>
        <w:rPr>
          <w:rFonts w:eastAsia="方正小标宋_GBK"/>
          <w:color w:val="000000"/>
          <w:kern w:val="0"/>
          <w:sz w:val="44"/>
          <w:szCs w:val="44"/>
        </w:rPr>
      </w:pPr>
      <w:r>
        <w:rPr>
          <w:rFonts w:eastAsia="方正小标宋_GBK"/>
          <w:color w:val="000000"/>
          <w:kern w:val="0"/>
          <w:sz w:val="44"/>
          <w:szCs w:val="44"/>
        </w:rPr>
        <w:t>指南编制专家名单</w:t>
      </w:r>
    </w:p>
    <w:tbl>
      <w:tblPr>
        <w:tblStyle w:val="3"/>
        <w:tblpPr w:leftFromText="180" w:rightFromText="180" w:vertAnchor="text" w:horzAnchor="margin" w:tblpXSpec="center" w:tblpY="226"/>
        <w:tblW w:w="921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0"/>
        <w:gridCol w:w="1369"/>
        <w:gridCol w:w="3824"/>
        <w:gridCol w:w="1417"/>
        <w:gridCol w:w="17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4" w:hRule="atLeast"/>
        </w:trPr>
        <w:tc>
          <w:tcPr>
            <w:tcW w:w="900"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eastAsia="宋体"/>
                <w:b/>
                <w:color w:val="000000"/>
                <w:sz w:val="24"/>
                <w:szCs w:val="22"/>
              </w:rPr>
            </w:pPr>
            <w:r>
              <w:rPr>
                <w:rFonts w:eastAsia="宋体"/>
                <w:b/>
                <w:color w:val="000000"/>
                <w:sz w:val="24"/>
                <w:szCs w:val="22"/>
              </w:rPr>
              <w:t>序号</w:t>
            </w:r>
          </w:p>
        </w:tc>
        <w:tc>
          <w:tcPr>
            <w:tcW w:w="1369"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eastAsia="宋体"/>
                <w:b/>
                <w:color w:val="000000"/>
                <w:sz w:val="24"/>
                <w:szCs w:val="22"/>
              </w:rPr>
            </w:pPr>
            <w:r>
              <w:rPr>
                <w:rFonts w:eastAsia="宋体"/>
                <w:b/>
                <w:color w:val="000000"/>
                <w:sz w:val="24"/>
                <w:szCs w:val="22"/>
              </w:rPr>
              <w:t>姓名</w:t>
            </w:r>
          </w:p>
        </w:tc>
        <w:tc>
          <w:tcPr>
            <w:tcW w:w="3824"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eastAsia="宋体"/>
                <w:b/>
                <w:color w:val="000000"/>
                <w:sz w:val="24"/>
                <w:szCs w:val="22"/>
              </w:rPr>
            </w:pPr>
            <w:r>
              <w:rPr>
                <w:rFonts w:eastAsia="宋体"/>
                <w:b/>
                <w:color w:val="000000"/>
                <w:sz w:val="24"/>
                <w:szCs w:val="22"/>
              </w:rPr>
              <w:t>单位</w:t>
            </w:r>
          </w:p>
        </w:tc>
        <w:tc>
          <w:tcPr>
            <w:tcW w:w="1417"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eastAsia="宋体"/>
                <w:sz w:val="21"/>
                <w:szCs w:val="22"/>
              </w:rPr>
            </w:pPr>
            <w:r>
              <w:rPr>
                <w:rFonts w:eastAsia="宋体"/>
                <w:b/>
                <w:color w:val="000000"/>
                <w:sz w:val="24"/>
                <w:szCs w:val="22"/>
              </w:rPr>
              <w:t>职称</w:t>
            </w:r>
          </w:p>
        </w:tc>
        <w:tc>
          <w:tcPr>
            <w:tcW w:w="1700"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eastAsia="宋体"/>
                <w:sz w:val="21"/>
                <w:szCs w:val="22"/>
              </w:rPr>
            </w:pPr>
            <w:r>
              <w:rPr>
                <w:rFonts w:eastAsia="宋体"/>
                <w:b/>
                <w:color w:val="000000"/>
                <w:sz w:val="24"/>
                <w:szCs w:val="22"/>
              </w:rPr>
              <w:t>专业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0" w:hRule="atLeast"/>
        </w:trPr>
        <w:tc>
          <w:tcPr>
            <w:tcW w:w="900"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eastAsia="宋体"/>
                <w:color w:val="000000"/>
                <w:sz w:val="24"/>
                <w:szCs w:val="22"/>
              </w:rPr>
            </w:pPr>
            <w:r>
              <w:rPr>
                <w:rFonts w:eastAsia="宋体"/>
                <w:color w:val="000000"/>
                <w:sz w:val="24"/>
                <w:szCs w:val="22"/>
              </w:rPr>
              <w:t>1</w:t>
            </w:r>
          </w:p>
        </w:tc>
        <w:tc>
          <w:tcPr>
            <w:tcW w:w="1369"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color w:val="000000"/>
                <w:sz w:val="24"/>
                <w:szCs w:val="22"/>
              </w:rPr>
            </w:pPr>
            <w:r>
              <w:rPr>
                <w:color w:val="000000"/>
                <w:sz w:val="24"/>
                <w:szCs w:val="22"/>
              </w:rPr>
              <w:t>刘  庆</w:t>
            </w:r>
          </w:p>
        </w:tc>
        <w:tc>
          <w:tcPr>
            <w:tcW w:w="3824" w:type="dxa"/>
            <w:tcBorders>
              <w:top w:val="single" w:color="auto" w:sz="4" w:space="0"/>
              <w:left w:val="single" w:color="auto" w:sz="4" w:space="0"/>
              <w:bottom w:val="single" w:color="auto" w:sz="4" w:space="0"/>
              <w:right w:val="single" w:color="auto" w:sz="4" w:space="0"/>
            </w:tcBorders>
            <w:vAlign w:val="center"/>
          </w:tcPr>
          <w:p>
            <w:pPr>
              <w:spacing w:line="560" w:lineRule="exact"/>
              <w:rPr>
                <w:color w:val="000000"/>
                <w:sz w:val="24"/>
                <w:szCs w:val="22"/>
              </w:rPr>
            </w:pPr>
            <w:r>
              <w:rPr>
                <w:color w:val="000000"/>
                <w:sz w:val="24"/>
                <w:szCs w:val="22"/>
              </w:rPr>
              <w:t>中国科学院成都生物研究所</w:t>
            </w:r>
          </w:p>
        </w:tc>
        <w:tc>
          <w:tcPr>
            <w:tcW w:w="1417"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eastAsia="宋体"/>
                <w:sz w:val="21"/>
                <w:szCs w:val="22"/>
              </w:rPr>
            </w:pPr>
            <w:r>
              <w:rPr>
                <w:color w:val="000000"/>
                <w:sz w:val="24"/>
                <w:szCs w:val="22"/>
              </w:rPr>
              <w:t>研究员</w:t>
            </w:r>
          </w:p>
        </w:tc>
        <w:tc>
          <w:tcPr>
            <w:tcW w:w="1700"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eastAsia="宋体"/>
                <w:sz w:val="21"/>
                <w:szCs w:val="22"/>
              </w:rPr>
            </w:pPr>
            <w:r>
              <w:rPr>
                <w:color w:val="000000"/>
                <w:sz w:val="24"/>
                <w:szCs w:val="22"/>
              </w:rPr>
              <w:t>生态学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2" w:hRule="atLeast"/>
        </w:trPr>
        <w:tc>
          <w:tcPr>
            <w:tcW w:w="900"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eastAsia="宋体"/>
                <w:color w:val="000000"/>
                <w:sz w:val="24"/>
                <w:szCs w:val="22"/>
              </w:rPr>
            </w:pPr>
            <w:r>
              <w:rPr>
                <w:rFonts w:eastAsia="宋体"/>
                <w:color w:val="000000"/>
                <w:sz w:val="24"/>
                <w:szCs w:val="22"/>
              </w:rPr>
              <w:t>2</w:t>
            </w:r>
          </w:p>
        </w:tc>
        <w:tc>
          <w:tcPr>
            <w:tcW w:w="1369"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color w:val="000000"/>
                <w:sz w:val="24"/>
                <w:szCs w:val="22"/>
              </w:rPr>
            </w:pPr>
            <w:r>
              <w:rPr>
                <w:color w:val="000000"/>
                <w:sz w:val="24"/>
                <w:szCs w:val="22"/>
              </w:rPr>
              <w:t>许  强</w:t>
            </w:r>
          </w:p>
        </w:tc>
        <w:tc>
          <w:tcPr>
            <w:tcW w:w="3824" w:type="dxa"/>
            <w:tcBorders>
              <w:top w:val="single" w:color="auto" w:sz="4" w:space="0"/>
              <w:left w:val="single" w:color="auto" w:sz="4" w:space="0"/>
              <w:bottom w:val="single" w:color="auto" w:sz="4" w:space="0"/>
              <w:right w:val="single" w:color="auto" w:sz="4" w:space="0"/>
            </w:tcBorders>
            <w:vAlign w:val="center"/>
          </w:tcPr>
          <w:p>
            <w:pPr>
              <w:spacing w:line="560" w:lineRule="exact"/>
              <w:rPr>
                <w:color w:val="000000"/>
                <w:sz w:val="24"/>
                <w:szCs w:val="22"/>
              </w:rPr>
            </w:pPr>
            <w:r>
              <w:rPr>
                <w:color w:val="000000"/>
                <w:sz w:val="24"/>
                <w:szCs w:val="22"/>
              </w:rPr>
              <w:t>成都理工大学</w:t>
            </w:r>
          </w:p>
        </w:tc>
        <w:tc>
          <w:tcPr>
            <w:tcW w:w="1417"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eastAsia="宋体"/>
                <w:sz w:val="21"/>
                <w:szCs w:val="22"/>
              </w:rPr>
            </w:pPr>
            <w:r>
              <w:rPr>
                <w:color w:val="000000"/>
                <w:sz w:val="24"/>
                <w:szCs w:val="22"/>
              </w:rPr>
              <w:t>教授</w:t>
            </w:r>
          </w:p>
        </w:tc>
        <w:tc>
          <w:tcPr>
            <w:tcW w:w="1700"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eastAsia="宋体"/>
                <w:sz w:val="21"/>
                <w:szCs w:val="22"/>
              </w:rPr>
            </w:pPr>
            <w:r>
              <w:rPr>
                <w:color w:val="000000"/>
                <w:sz w:val="24"/>
                <w:szCs w:val="22"/>
              </w:rPr>
              <w:t>地质学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6" w:hRule="atLeast"/>
        </w:trPr>
        <w:tc>
          <w:tcPr>
            <w:tcW w:w="900"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eastAsia="宋体"/>
                <w:color w:val="000000"/>
                <w:sz w:val="24"/>
                <w:szCs w:val="22"/>
              </w:rPr>
            </w:pPr>
            <w:r>
              <w:rPr>
                <w:rFonts w:eastAsia="宋体"/>
                <w:color w:val="000000"/>
                <w:sz w:val="24"/>
                <w:szCs w:val="22"/>
              </w:rPr>
              <w:t>3</w:t>
            </w:r>
          </w:p>
        </w:tc>
        <w:tc>
          <w:tcPr>
            <w:tcW w:w="1369"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color w:val="000000"/>
                <w:sz w:val="24"/>
                <w:szCs w:val="22"/>
              </w:rPr>
            </w:pPr>
            <w:r>
              <w:rPr>
                <w:color w:val="000000"/>
                <w:sz w:val="24"/>
                <w:szCs w:val="22"/>
              </w:rPr>
              <w:t>尹华强</w:t>
            </w:r>
          </w:p>
        </w:tc>
        <w:tc>
          <w:tcPr>
            <w:tcW w:w="3824" w:type="dxa"/>
            <w:tcBorders>
              <w:top w:val="single" w:color="auto" w:sz="4" w:space="0"/>
              <w:left w:val="single" w:color="auto" w:sz="4" w:space="0"/>
              <w:bottom w:val="single" w:color="auto" w:sz="4" w:space="0"/>
              <w:right w:val="single" w:color="auto" w:sz="4" w:space="0"/>
            </w:tcBorders>
            <w:vAlign w:val="center"/>
          </w:tcPr>
          <w:p>
            <w:pPr>
              <w:spacing w:line="560" w:lineRule="exact"/>
              <w:rPr>
                <w:color w:val="000000"/>
                <w:sz w:val="24"/>
                <w:szCs w:val="22"/>
              </w:rPr>
            </w:pPr>
            <w:r>
              <w:rPr>
                <w:color w:val="000000"/>
                <w:sz w:val="24"/>
                <w:szCs w:val="22"/>
              </w:rPr>
              <w:t>四川大学</w:t>
            </w:r>
          </w:p>
        </w:tc>
        <w:tc>
          <w:tcPr>
            <w:tcW w:w="1417"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eastAsia="宋体"/>
                <w:sz w:val="21"/>
                <w:szCs w:val="22"/>
              </w:rPr>
            </w:pPr>
            <w:r>
              <w:rPr>
                <w:color w:val="000000"/>
                <w:sz w:val="24"/>
                <w:szCs w:val="22"/>
              </w:rPr>
              <w:t>教授</w:t>
            </w:r>
          </w:p>
        </w:tc>
        <w:tc>
          <w:tcPr>
            <w:tcW w:w="1700"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eastAsia="宋体"/>
                <w:sz w:val="21"/>
                <w:szCs w:val="22"/>
              </w:rPr>
            </w:pPr>
            <w:r>
              <w:rPr>
                <w:color w:val="000000"/>
                <w:sz w:val="24"/>
                <w:szCs w:val="22"/>
              </w:rPr>
              <w:t>大气污染防治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1" w:hRule="atLeast"/>
        </w:trPr>
        <w:tc>
          <w:tcPr>
            <w:tcW w:w="900"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eastAsia="宋体"/>
                <w:color w:val="000000"/>
                <w:sz w:val="24"/>
                <w:szCs w:val="22"/>
              </w:rPr>
            </w:pPr>
            <w:r>
              <w:rPr>
                <w:rFonts w:eastAsia="宋体"/>
                <w:color w:val="000000"/>
                <w:sz w:val="24"/>
                <w:szCs w:val="22"/>
              </w:rPr>
              <w:t>4</w:t>
            </w:r>
          </w:p>
        </w:tc>
        <w:tc>
          <w:tcPr>
            <w:tcW w:w="1369"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color w:val="000000"/>
                <w:sz w:val="24"/>
                <w:szCs w:val="22"/>
              </w:rPr>
            </w:pPr>
            <w:r>
              <w:rPr>
                <w:color w:val="000000"/>
                <w:sz w:val="24"/>
                <w:szCs w:val="22"/>
              </w:rPr>
              <w:t>郑子成</w:t>
            </w:r>
          </w:p>
        </w:tc>
        <w:tc>
          <w:tcPr>
            <w:tcW w:w="3824" w:type="dxa"/>
            <w:tcBorders>
              <w:top w:val="single" w:color="auto" w:sz="4" w:space="0"/>
              <w:left w:val="single" w:color="auto" w:sz="4" w:space="0"/>
              <w:bottom w:val="single" w:color="auto" w:sz="4" w:space="0"/>
              <w:right w:val="single" w:color="auto" w:sz="4" w:space="0"/>
            </w:tcBorders>
            <w:vAlign w:val="center"/>
          </w:tcPr>
          <w:p>
            <w:pPr>
              <w:spacing w:line="560" w:lineRule="exact"/>
              <w:rPr>
                <w:color w:val="000000"/>
                <w:sz w:val="24"/>
                <w:szCs w:val="22"/>
              </w:rPr>
            </w:pPr>
            <w:r>
              <w:rPr>
                <w:color w:val="000000"/>
                <w:sz w:val="24"/>
                <w:szCs w:val="22"/>
              </w:rPr>
              <w:t>四川农业大学</w:t>
            </w:r>
          </w:p>
        </w:tc>
        <w:tc>
          <w:tcPr>
            <w:tcW w:w="1417"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eastAsia="宋体"/>
                <w:sz w:val="21"/>
                <w:szCs w:val="22"/>
              </w:rPr>
            </w:pPr>
            <w:r>
              <w:rPr>
                <w:color w:val="000000"/>
                <w:sz w:val="24"/>
                <w:szCs w:val="22"/>
              </w:rPr>
              <w:t>教授</w:t>
            </w:r>
          </w:p>
        </w:tc>
        <w:tc>
          <w:tcPr>
            <w:tcW w:w="1700"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eastAsia="宋体"/>
                <w:sz w:val="21"/>
                <w:szCs w:val="22"/>
              </w:rPr>
            </w:pPr>
            <w:r>
              <w:rPr>
                <w:color w:val="000000"/>
                <w:sz w:val="24"/>
                <w:szCs w:val="22"/>
              </w:rPr>
              <w:t>土壤生态学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6" w:hRule="atLeast"/>
        </w:trPr>
        <w:tc>
          <w:tcPr>
            <w:tcW w:w="900"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eastAsia="宋体"/>
                <w:color w:val="000000"/>
                <w:sz w:val="24"/>
                <w:szCs w:val="22"/>
              </w:rPr>
            </w:pPr>
            <w:r>
              <w:rPr>
                <w:rFonts w:eastAsia="宋体"/>
                <w:color w:val="000000"/>
                <w:sz w:val="24"/>
                <w:szCs w:val="22"/>
              </w:rPr>
              <w:t>5</w:t>
            </w:r>
          </w:p>
        </w:tc>
        <w:tc>
          <w:tcPr>
            <w:tcW w:w="1369"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color w:val="000000"/>
                <w:sz w:val="24"/>
                <w:szCs w:val="22"/>
              </w:rPr>
            </w:pPr>
            <w:r>
              <w:rPr>
                <w:color w:val="000000"/>
                <w:sz w:val="24"/>
                <w:szCs w:val="22"/>
              </w:rPr>
              <w:t>秦  蓁</w:t>
            </w:r>
          </w:p>
        </w:tc>
        <w:tc>
          <w:tcPr>
            <w:tcW w:w="3824" w:type="dxa"/>
            <w:tcBorders>
              <w:top w:val="single" w:color="auto" w:sz="4" w:space="0"/>
              <w:left w:val="single" w:color="auto" w:sz="4" w:space="0"/>
              <w:bottom w:val="single" w:color="auto" w:sz="4" w:space="0"/>
              <w:right w:val="single" w:color="auto" w:sz="4" w:space="0"/>
            </w:tcBorders>
            <w:vAlign w:val="center"/>
          </w:tcPr>
          <w:p>
            <w:pPr>
              <w:spacing w:line="560" w:lineRule="exact"/>
              <w:rPr>
                <w:color w:val="000000"/>
                <w:sz w:val="24"/>
                <w:szCs w:val="22"/>
              </w:rPr>
            </w:pPr>
            <w:r>
              <w:rPr>
                <w:color w:val="000000"/>
                <w:sz w:val="24"/>
                <w:szCs w:val="22"/>
              </w:rPr>
              <w:t>四川省自然资源科学研究院</w:t>
            </w:r>
          </w:p>
        </w:tc>
        <w:tc>
          <w:tcPr>
            <w:tcW w:w="1417"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eastAsia="宋体"/>
                <w:sz w:val="21"/>
                <w:szCs w:val="22"/>
              </w:rPr>
            </w:pPr>
            <w:r>
              <w:rPr>
                <w:color w:val="000000"/>
                <w:sz w:val="24"/>
                <w:szCs w:val="22"/>
              </w:rPr>
              <w:t>研究员</w:t>
            </w:r>
          </w:p>
        </w:tc>
        <w:tc>
          <w:tcPr>
            <w:tcW w:w="1700"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eastAsia="宋体"/>
                <w:sz w:val="21"/>
                <w:szCs w:val="22"/>
              </w:rPr>
            </w:pPr>
            <w:r>
              <w:rPr>
                <w:color w:val="000000"/>
                <w:sz w:val="24"/>
                <w:szCs w:val="22"/>
              </w:rPr>
              <w:t>植物保护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6" w:hRule="atLeast"/>
        </w:trPr>
        <w:tc>
          <w:tcPr>
            <w:tcW w:w="900"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eastAsia="宋体"/>
                <w:color w:val="000000"/>
                <w:sz w:val="24"/>
                <w:szCs w:val="22"/>
              </w:rPr>
            </w:pPr>
            <w:r>
              <w:rPr>
                <w:rFonts w:eastAsia="宋体"/>
                <w:color w:val="000000"/>
                <w:sz w:val="24"/>
                <w:szCs w:val="22"/>
              </w:rPr>
              <w:t>6</w:t>
            </w:r>
          </w:p>
        </w:tc>
        <w:tc>
          <w:tcPr>
            <w:tcW w:w="1369"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color w:val="000000"/>
                <w:sz w:val="24"/>
                <w:szCs w:val="22"/>
              </w:rPr>
            </w:pPr>
            <w:r>
              <w:rPr>
                <w:color w:val="000000"/>
                <w:sz w:val="24"/>
                <w:szCs w:val="22"/>
              </w:rPr>
              <w:t>叶  宏</w:t>
            </w:r>
          </w:p>
        </w:tc>
        <w:tc>
          <w:tcPr>
            <w:tcW w:w="3824" w:type="dxa"/>
            <w:tcBorders>
              <w:top w:val="single" w:color="auto" w:sz="4" w:space="0"/>
              <w:left w:val="single" w:color="auto" w:sz="4" w:space="0"/>
              <w:bottom w:val="single" w:color="auto" w:sz="4" w:space="0"/>
              <w:right w:val="single" w:color="auto" w:sz="4" w:space="0"/>
            </w:tcBorders>
            <w:vAlign w:val="center"/>
          </w:tcPr>
          <w:p>
            <w:pPr>
              <w:spacing w:line="560" w:lineRule="exact"/>
              <w:rPr>
                <w:color w:val="000000"/>
                <w:sz w:val="24"/>
                <w:szCs w:val="22"/>
              </w:rPr>
            </w:pPr>
            <w:r>
              <w:rPr>
                <w:color w:val="000000"/>
                <w:sz w:val="24"/>
                <w:szCs w:val="22"/>
              </w:rPr>
              <w:t>四川省环境保护科学研究院</w:t>
            </w:r>
          </w:p>
        </w:tc>
        <w:tc>
          <w:tcPr>
            <w:tcW w:w="1417"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eastAsia="宋体"/>
                <w:sz w:val="21"/>
                <w:szCs w:val="22"/>
              </w:rPr>
            </w:pPr>
            <w:r>
              <w:rPr>
                <w:color w:val="000000"/>
                <w:sz w:val="24"/>
                <w:szCs w:val="22"/>
              </w:rPr>
              <w:t>研究员</w:t>
            </w:r>
          </w:p>
        </w:tc>
        <w:tc>
          <w:tcPr>
            <w:tcW w:w="1700"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eastAsia="宋体"/>
                <w:sz w:val="21"/>
                <w:szCs w:val="22"/>
              </w:rPr>
            </w:pPr>
            <w:r>
              <w:rPr>
                <w:color w:val="000000"/>
                <w:sz w:val="24"/>
                <w:szCs w:val="22"/>
              </w:rPr>
              <w:t>环保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1" w:hRule="atLeast"/>
        </w:trPr>
        <w:tc>
          <w:tcPr>
            <w:tcW w:w="900"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eastAsia="宋体"/>
                <w:color w:val="000000"/>
                <w:sz w:val="24"/>
                <w:szCs w:val="22"/>
              </w:rPr>
            </w:pPr>
            <w:r>
              <w:rPr>
                <w:rFonts w:eastAsia="宋体"/>
                <w:color w:val="000000"/>
                <w:sz w:val="24"/>
                <w:szCs w:val="22"/>
              </w:rPr>
              <w:t>7</w:t>
            </w:r>
          </w:p>
        </w:tc>
        <w:tc>
          <w:tcPr>
            <w:tcW w:w="1369"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color w:val="000000"/>
                <w:sz w:val="24"/>
                <w:szCs w:val="22"/>
              </w:rPr>
            </w:pPr>
            <w:r>
              <w:rPr>
                <w:color w:val="000000"/>
                <w:sz w:val="24"/>
                <w:szCs w:val="22"/>
              </w:rPr>
              <w:t>陈  功</w:t>
            </w:r>
          </w:p>
        </w:tc>
        <w:tc>
          <w:tcPr>
            <w:tcW w:w="3824" w:type="dxa"/>
            <w:tcBorders>
              <w:top w:val="single" w:color="auto" w:sz="4" w:space="0"/>
              <w:left w:val="single" w:color="auto" w:sz="4" w:space="0"/>
              <w:bottom w:val="single" w:color="auto" w:sz="4" w:space="0"/>
              <w:right w:val="single" w:color="auto" w:sz="4" w:space="0"/>
            </w:tcBorders>
            <w:vAlign w:val="center"/>
          </w:tcPr>
          <w:p>
            <w:pPr>
              <w:spacing w:line="560" w:lineRule="exact"/>
              <w:rPr>
                <w:color w:val="000000"/>
                <w:sz w:val="24"/>
                <w:szCs w:val="22"/>
              </w:rPr>
            </w:pPr>
            <w:r>
              <w:rPr>
                <w:color w:val="000000"/>
                <w:sz w:val="24"/>
                <w:szCs w:val="22"/>
              </w:rPr>
              <w:t>四川省食品发酵工业研究设计院</w:t>
            </w:r>
          </w:p>
        </w:tc>
        <w:tc>
          <w:tcPr>
            <w:tcW w:w="1417"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eastAsia="宋体"/>
                <w:sz w:val="21"/>
                <w:szCs w:val="22"/>
              </w:rPr>
            </w:pPr>
            <w:r>
              <w:rPr>
                <w:color w:val="000000"/>
                <w:sz w:val="24"/>
                <w:szCs w:val="22"/>
              </w:rPr>
              <w:t>高工</w:t>
            </w:r>
          </w:p>
        </w:tc>
        <w:tc>
          <w:tcPr>
            <w:tcW w:w="1700"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eastAsia="宋体"/>
                <w:sz w:val="21"/>
                <w:szCs w:val="22"/>
              </w:rPr>
            </w:pPr>
            <w:r>
              <w:rPr>
                <w:color w:val="000000"/>
                <w:sz w:val="24"/>
                <w:szCs w:val="22"/>
              </w:rPr>
              <w:t>食品安全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56" w:hRule="atLeast"/>
        </w:trPr>
        <w:tc>
          <w:tcPr>
            <w:tcW w:w="900"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eastAsia="宋体"/>
                <w:color w:val="000000"/>
                <w:sz w:val="24"/>
                <w:szCs w:val="22"/>
              </w:rPr>
            </w:pPr>
            <w:r>
              <w:rPr>
                <w:rFonts w:eastAsia="宋体"/>
                <w:color w:val="000000"/>
                <w:sz w:val="24"/>
                <w:szCs w:val="22"/>
              </w:rPr>
              <w:t>8</w:t>
            </w:r>
          </w:p>
        </w:tc>
        <w:tc>
          <w:tcPr>
            <w:tcW w:w="1369"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color w:val="000000"/>
                <w:sz w:val="24"/>
                <w:szCs w:val="22"/>
              </w:rPr>
            </w:pPr>
            <w:r>
              <w:rPr>
                <w:color w:val="000000"/>
                <w:sz w:val="24"/>
                <w:szCs w:val="22"/>
              </w:rPr>
              <w:t>苗  放</w:t>
            </w:r>
          </w:p>
        </w:tc>
        <w:tc>
          <w:tcPr>
            <w:tcW w:w="3824" w:type="dxa"/>
            <w:tcBorders>
              <w:top w:val="single" w:color="auto" w:sz="4" w:space="0"/>
              <w:left w:val="single" w:color="auto" w:sz="4" w:space="0"/>
              <w:bottom w:val="single" w:color="auto" w:sz="4" w:space="0"/>
              <w:right w:val="single" w:color="auto" w:sz="4" w:space="0"/>
            </w:tcBorders>
            <w:vAlign w:val="center"/>
          </w:tcPr>
          <w:p>
            <w:pPr>
              <w:spacing w:line="560" w:lineRule="exact"/>
              <w:rPr>
                <w:color w:val="000000"/>
                <w:sz w:val="24"/>
                <w:szCs w:val="22"/>
              </w:rPr>
            </w:pPr>
            <w:r>
              <w:rPr>
                <w:color w:val="000000"/>
                <w:sz w:val="24"/>
                <w:szCs w:val="22"/>
              </w:rPr>
              <w:t>成都理工大学</w:t>
            </w:r>
          </w:p>
        </w:tc>
        <w:tc>
          <w:tcPr>
            <w:tcW w:w="1417"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eastAsia="宋体"/>
                <w:sz w:val="21"/>
                <w:szCs w:val="22"/>
              </w:rPr>
            </w:pPr>
            <w:r>
              <w:rPr>
                <w:color w:val="000000"/>
                <w:sz w:val="24"/>
                <w:szCs w:val="22"/>
              </w:rPr>
              <w:t>教授</w:t>
            </w:r>
          </w:p>
        </w:tc>
        <w:tc>
          <w:tcPr>
            <w:tcW w:w="1700"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eastAsia="宋体"/>
                <w:sz w:val="21"/>
                <w:szCs w:val="22"/>
              </w:rPr>
            </w:pPr>
            <w:r>
              <w:rPr>
                <w:color w:val="000000"/>
                <w:sz w:val="24"/>
                <w:szCs w:val="22"/>
              </w:rPr>
              <w:t>计算机应用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56" w:hRule="atLeast"/>
        </w:trPr>
        <w:tc>
          <w:tcPr>
            <w:tcW w:w="900"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eastAsia="宋体"/>
                <w:color w:val="000000"/>
                <w:sz w:val="24"/>
                <w:szCs w:val="22"/>
              </w:rPr>
            </w:pPr>
            <w:r>
              <w:rPr>
                <w:rFonts w:eastAsia="宋体"/>
                <w:color w:val="000000"/>
                <w:sz w:val="24"/>
                <w:szCs w:val="22"/>
              </w:rPr>
              <w:t>9</w:t>
            </w:r>
          </w:p>
        </w:tc>
        <w:tc>
          <w:tcPr>
            <w:tcW w:w="1369"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color w:val="000000"/>
                <w:sz w:val="24"/>
                <w:szCs w:val="22"/>
              </w:rPr>
            </w:pPr>
            <w:r>
              <w:rPr>
                <w:color w:val="000000"/>
                <w:sz w:val="24"/>
                <w:szCs w:val="22"/>
              </w:rPr>
              <w:t>杨兆中</w:t>
            </w:r>
          </w:p>
        </w:tc>
        <w:tc>
          <w:tcPr>
            <w:tcW w:w="3824" w:type="dxa"/>
            <w:tcBorders>
              <w:top w:val="single" w:color="auto" w:sz="4" w:space="0"/>
              <w:left w:val="single" w:color="auto" w:sz="4" w:space="0"/>
              <w:bottom w:val="single" w:color="auto" w:sz="4" w:space="0"/>
              <w:right w:val="single" w:color="auto" w:sz="4" w:space="0"/>
            </w:tcBorders>
            <w:vAlign w:val="center"/>
          </w:tcPr>
          <w:p>
            <w:pPr>
              <w:spacing w:line="560" w:lineRule="exact"/>
              <w:rPr>
                <w:color w:val="000000"/>
                <w:sz w:val="24"/>
                <w:szCs w:val="22"/>
              </w:rPr>
            </w:pPr>
            <w:r>
              <w:rPr>
                <w:color w:val="000000"/>
                <w:sz w:val="24"/>
                <w:szCs w:val="22"/>
              </w:rPr>
              <w:t>西南石油大学</w:t>
            </w:r>
          </w:p>
        </w:tc>
        <w:tc>
          <w:tcPr>
            <w:tcW w:w="1417"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eastAsia="宋体"/>
                <w:sz w:val="21"/>
                <w:szCs w:val="22"/>
              </w:rPr>
            </w:pPr>
            <w:r>
              <w:rPr>
                <w:color w:val="000000"/>
                <w:sz w:val="24"/>
                <w:szCs w:val="22"/>
              </w:rPr>
              <w:t>教授</w:t>
            </w:r>
          </w:p>
        </w:tc>
        <w:tc>
          <w:tcPr>
            <w:tcW w:w="1700"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eastAsia="宋体"/>
                <w:sz w:val="21"/>
                <w:szCs w:val="22"/>
              </w:rPr>
            </w:pPr>
            <w:r>
              <w:rPr>
                <w:color w:val="000000"/>
                <w:sz w:val="24"/>
                <w:szCs w:val="22"/>
              </w:rPr>
              <w:t>页岩气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56" w:hRule="atLeast"/>
        </w:trPr>
        <w:tc>
          <w:tcPr>
            <w:tcW w:w="900"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eastAsia="宋体"/>
                <w:color w:val="000000"/>
                <w:sz w:val="24"/>
                <w:szCs w:val="22"/>
              </w:rPr>
            </w:pPr>
            <w:r>
              <w:rPr>
                <w:rFonts w:eastAsia="宋体"/>
                <w:color w:val="000000"/>
                <w:sz w:val="24"/>
                <w:szCs w:val="22"/>
              </w:rPr>
              <w:t>10</w:t>
            </w:r>
          </w:p>
        </w:tc>
        <w:tc>
          <w:tcPr>
            <w:tcW w:w="1369"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color w:val="000000"/>
                <w:sz w:val="24"/>
                <w:szCs w:val="22"/>
              </w:rPr>
            </w:pPr>
            <w:r>
              <w:rPr>
                <w:color w:val="000000"/>
                <w:sz w:val="24"/>
                <w:szCs w:val="22"/>
              </w:rPr>
              <w:t>施富强</w:t>
            </w:r>
          </w:p>
        </w:tc>
        <w:tc>
          <w:tcPr>
            <w:tcW w:w="3824" w:type="dxa"/>
            <w:tcBorders>
              <w:top w:val="single" w:color="auto" w:sz="4" w:space="0"/>
              <w:left w:val="single" w:color="auto" w:sz="4" w:space="0"/>
              <w:bottom w:val="single" w:color="auto" w:sz="4" w:space="0"/>
              <w:right w:val="single" w:color="auto" w:sz="4" w:space="0"/>
            </w:tcBorders>
            <w:vAlign w:val="center"/>
          </w:tcPr>
          <w:p>
            <w:pPr>
              <w:spacing w:line="560" w:lineRule="exact"/>
              <w:rPr>
                <w:color w:val="000000"/>
                <w:sz w:val="24"/>
                <w:szCs w:val="22"/>
              </w:rPr>
            </w:pPr>
            <w:r>
              <w:rPr>
                <w:color w:val="000000"/>
                <w:sz w:val="24"/>
                <w:szCs w:val="22"/>
              </w:rPr>
              <w:t>四川省安全生产科学研究院</w:t>
            </w:r>
          </w:p>
        </w:tc>
        <w:tc>
          <w:tcPr>
            <w:tcW w:w="1417"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color w:val="000000"/>
                <w:sz w:val="24"/>
                <w:szCs w:val="22"/>
              </w:rPr>
            </w:pPr>
            <w:r>
              <w:rPr>
                <w:color w:val="000000"/>
                <w:sz w:val="24"/>
                <w:szCs w:val="22"/>
              </w:rPr>
              <w:t>研究员</w:t>
            </w:r>
          </w:p>
        </w:tc>
        <w:tc>
          <w:tcPr>
            <w:tcW w:w="1700"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color w:val="000000"/>
                <w:sz w:val="24"/>
                <w:szCs w:val="22"/>
              </w:rPr>
            </w:pPr>
            <w:r>
              <w:rPr>
                <w:color w:val="000000"/>
                <w:sz w:val="24"/>
                <w:szCs w:val="22"/>
              </w:rPr>
              <w:t>安全生产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56" w:hRule="atLeast"/>
        </w:trPr>
        <w:tc>
          <w:tcPr>
            <w:tcW w:w="900"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eastAsia="宋体"/>
                <w:color w:val="000000"/>
                <w:sz w:val="24"/>
                <w:szCs w:val="22"/>
              </w:rPr>
            </w:pPr>
            <w:r>
              <w:rPr>
                <w:rFonts w:eastAsia="宋体"/>
                <w:color w:val="000000"/>
                <w:sz w:val="24"/>
                <w:szCs w:val="22"/>
              </w:rPr>
              <w:t>11</w:t>
            </w:r>
          </w:p>
        </w:tc>
        <w:tc>
          <w:tcPr>
            <w:tcW w:w="1369"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color w:val="000000"/>
                <w:sz w:val="24"/>
                <w:szCs w:val="22"/>
              </w:rPr>
            </w:pPr>
            <w:r>
              <w:rPr>
                <w:color w:val="000000"/>
                <w:sz w:val="24"/>
                <w:szCs w:val="22"/>
              </w:rPr>
              <w:t>梁繁荣</w:t>
            </w:r>
          </w:p>
        </w:tc>
        <w:tc>
          <w:tcPr>
            <w:tcW w:w="3824" w:type="dxa"/>
            <w:tcBorders>
              <w:top w:val="single" w:color="auto" w:sz="4" w:space="0"/>
              <w:left w:val="single" w:color="auto" w:sz="4" w:space="0"/>
              <w:bottom w:val="single" w:color="auto" w:sz="4" w:space="0"/>
              <w:right w:val="single" w:color="auto" w:sz="4" w:space="0"/>
            </w:tcBorders>
            <w:vAlign w:val="center"/>
          </w:tcPr>
          <w:p>
            <w:pPr>
              <w:spacing w:line="560" w:lineRule="exact"/>
              <w:rPr>
                <w:color w:val="000000"/>
                <w:sz w:val="24"/>
                <w:szCs w:val="22"/>
              </w:rPr>
            </w:pPr>
            <w:r>
              <w:rPr>
                <w:color w:val="000000"/>
                <w:sz w:val="24"/>
                <w:szCs w:val="22"/>
              </w:rPr>
              <w:t>成都中医药大学</w:t>
            </w:r>
          </w:p>
        </w:tc>
        <w:tc>
          <w:tcPr>
            <w:tcW w:w="1417"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color w:val="000000"/>
                <w:sz w:val="24"/>
                <w:szCs w:val="22"/>
              </w:rPr>
            </w:pPr>
            <w:r>
              <w:rPr>
                <w:color w:val="000000"/>
                <w:sz w:val="24"/>
                <w:szCs w:val="22"/>
              </w:rPr>
              <w:t>教授</w:t>
            </w:r>
          </w:p>
        </w:tc>
        <w:tc>
          <w:tcPr>
            <w:tcW w:w="1700"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color w:val="000000"/>
                <w:sz w:val="24"/>
                <w:szCs w:val="22"/>
              </w:rPr>
            </w:pPr>
            <w:r>
              <w:rPr>
                <w:color w:val="000000"/>
                <w:sz w:val="24"/>
                <w:szCs w:val="22"/>
              </w:rPr>
              <w:t>中医学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56" w:hRule="atLeast"/>
        </w:trPr>
        <w:tc>
          <w:tcPr>
            <w:tcW w:w="900"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eastAsia="宋体"/>
                <w:color w:val="000000"/>
                <w:sz w:val="24"/>
                <w:szCs w:val="22"/>
              </w:rPr>
            </w:pPr>
            <w:r>
              <w:rPr>
                <w:rFonts w:eastAsia="宋体"/>
                <w:color w:val="000000"/>
                <w:sz w:val="24"/>
                <w:szCs w:val="22"/>
              </w:rPr>
              <w:t>12</w:t>
            </w:r>
          </w:p>
        </w:tc>
        <w:tc>
          <w:tcPr>
            <w:tcW w:w="1369"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color w:val="000000"/>
                <w:sz w:val="24"/>
                <w:szCs w:val="22"/>
              </w:rPr>
            </w:pPr>
            <w:r>
              <w:rPr>
                <w:color w:val="000000"/>
                <w:sz w:val="24"/>
                <w:szCs w:val="22"/>
              </w:rPr>
              <w:t>田卫东</w:t>
            </w:r>
          </w:p>
        </w:tc>
        <w:tc>
          <w:tcPr>
            <w:tcW w:w="3824" w:type="dxa"/>
            <w:tcBorders>
              <w:top w:val="single" w:color="auto" w:sz="4" w:space="0"/>
              <w:left w:val="single" w:color="auto" w:sz="4" w:space="0"/>
              <w:bottom w:val="single" w:color="auto" w:sz="4" w:space="0"/>
              <w:right w:val="single" w:color="auto" w:sz="4" w:space="0"/>
            </w:tcBorders>
            <w:vAlign w:val="center"/>
          </w:tcPr>
          <w:p>
            <w:pPr>
              <w:spacing w:line="560" w:lineRule="exact"/>
              <w:rPr>
                <w:color w:val="000000"/>
                <w:sz w:val="24"/>
                <w:szCs w:val="22"/>
              </w:rPr>
            </w:pPr>
            <w:r>
              <w:rPr>
                <w:color w:val="000000"/>
                <w:sz w:val="24"/>
                <w:szCs w:val="22"/>
              </w:rPr>
              <w:t>四川大学</w:t>
            </w:r>
          </w:p>
        </w:tc>
        <w:tc>
          <w:tcPr>
            <w:tcW w:w="1417"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color w:val="000000"/>
                <w:sz w:val="24"/>
                <w:szCs w:val="22"/>
              </w:rPr>
            </w:pPr>
            <w:r>
              <w:rPr>
                <w:sz w:val="24"/>
                <w:szCs w:val="22"/>
              </w:rPr>
              <w:t>教授</w:t>
            </w:r>
          </w:p>
        </w:tc>
        <w:tc>
          <w:tcPr>
            <w:tcW w:w="1700"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color w:val="000000"/>
                <w:sz w:val="24"/>
                <w:szCs w:val="22"/>
              </w:rPr>
            </w:pPr>
            <w:r>
              <w:rPr>
                <w:sz w:val="24"/>
                <w:szCs w:val="22"/>
              </w:rPr>
              <w:t>临床医学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56" w:hRule="atLeast"/>
        </w:trPr>
        <w:tc>
          <w:tcPr>
            <w:tcW w:w="900"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eastAsia="宋体"/>
                <w:color w:val="000000"/>
                <w:sz w:val="24"/>
                <w:szCs w:val="22"/>
              </w:rPr>
            </w:pPr>
            <w:r>
              <w:rPr>
                <w:rFonts w:eastAsia="宋体"/>
                <w:color w:val="000000"/>
                <w:sz w:val="24"/>
                <w:szCs w:val="22"/>
              </w:rPr>
              <w:t>13</w:t>
            </w:r>
          </w:p>
        </w:tc>
        <w:tc>
          <w:tcPr>
            <w:tcW w:w="1369"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color w:val="000000"/>
                <w:sz w:val="24"/>
                <w:szCs w:val="22"/>
              </w:rPr>
            </w:pPr>
            <w:r>
              <w:rPr>
                <w:color w:val="000000"/>
                <w:sz w:val="24"/>
                <w:szCs w:val="22"/>
              </w:rPr>
              <w:t>王利春</w:t>
            </w:r>
          </w:p>
        </w:tc>
        <w:tc>
          <w:tcPr>
            <w:tcW w:w="3824" w:type="dxa"/>
            <w:tcBorders>
              <w:top w:val="single" w:color="auto" w:sz="4" w:space="0"/>
              <w:left w:val="single" w:color="auto" w:sz="4" w:space="0"/>
              <w:bottom w:val="single" w:color="auto" w:sz="4" w:space="0"/>
              <w:right w:val="single" w:color="auto" w:sz="4" w:space="0"/>
            </w:tcBorders>
            <w:vAlign w:val="center"/>
          </w:tcPr>
          <w:p>
            <w:pPr>
              <w:spacing w:line="560" w:lineRule="exact"/>
              <w:rPr>
                <w:color w:val="000000"/>
                <w:sz w:val="24"/>
                <w:szCs w:val="22"/>
              </w:rPr>
            </w:pPr>
            <w:r>
              <w:rPr>
                <w:color w:val="000000"/>
                <w:sz w:val="24"/>
                <w:szCs w:val="22"/>
              </w:rPr>
              <w:t>四川科伦药业股份有限公司</w:t>
            </w:r>
          </w:p>
        </w:tc>
        <w:tc>
          <w:tcPr>
            <w:tcW w:w="1417"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color w:val="000000"/>
                <w:sz w:val="24"/>
                <w:szCs w:val="22"/>
              </w:rPr>
            </w:pPr>
            <w:r>
              <w:rPr>
                <w:color w:val="000000"/>
                <w:sz w:val="24"/>
                <w:szCs w:val="22"/>
              </w:rPr>
              <w:t>高工</w:t>
            </w:r>
          </w:p>
        </w:tc>
        <w:tc>
          <w:tcPr>
            <w:tcW w:w="1700"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color w:val="000000"/>
                <w:sz w:val="24"/>
                <w:szCs w:val="22"/>
              </w:rPr>
            </w:pPr>
            <w:r>
              <w:rPr>
                <w:color w:val="000000"/>
                <w:sz w:val="24"/>
                <w:szCs w:val="22"/>
              </w:rPr>
              <w:t>药学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56" w:hRule="atLeast"/>
        </w:trPr>
        <w:tc>
          <w:tcPr>
            <w:tcW w:w="900"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eastAsia="宋体"/>
                <w:color w:val="000000"/>
                <w:sz w:val="24"/>
                <w:szCs w:val="22"/>
              </w:rPr>
            </w:pPr>
            <w:r>
              <w:rPr>
                <w:rFonts w:eastAsia="宋体"/>
                <w:color w:val="000000"/>
                <w:sz w:val="24"/>
                <w:szCs w:val="22"/>
              </w:rPr>
              <w:t>14</w:t>
            </w:r>
          </w:p>
        </w:tc>
        <w:tc>
          <w:tcPr>
            <w:tcW w:w="1369"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color w:val="000000"/>
                <w:sz w:val="24"/>
                <w:szCs w:val="22"/>
              </w:rPr>
            </w:pPr>
            <w:r>
              <w:rPr>
                <w:color w:val="000000"/>
                <w:sz w:val="24"/>
                <w:szCs w:val="22"/>
              </w:rPr>
              <w:t>周黎明</w:t>
            </w:r>
          </w:p>
        </w:tc>
        <w:tc>
          <w:tcPr>
            <w:tcW w:w="3824" w:type="dxa"/>
            <w:tcBorders>
              <w:top w:val="single" w:color="auto" w:sz="4" w:space="0"/>
              <w:left w:val="single" w:color="auto" w:sz="4" w:space="0"/>
              <w:bottom w:val="single" w:color="auto" w:sz="4" w:space="0"/>
              <w:right w:val="single" w:color="auto" w:sz="4" w:space="0"/>
            </w:tcBorders>
            <w:vAlign w:val="center"/>
          </w:tcPr>
          <w:p>
            <w:pPr>
              <w:spacing w:line="560" w:lineRule="exact"/>
              <w:rPr>
                <w:color w:val="000000"/>
                <w:sz w:val="24"/>
                <w:szCs w:val="22"/>
              </w:rPr>
            </w:pPr>
            <w:r>
              <w:rPr>
                <w:color w:val="000000"/>
                <w:sz w:val="24"/>
                <w:szCs w:val="22"/>
              </w:rPr>
              <w:t>四川大学</w:t>
            </w:r>
          </w:p>
        </w:tc>
        <w:tc>
          <w:tcPr>
            <w:tcW w:w="1417"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color w:val="000000"/>
                <w:sz w:val="24"/>
                <w:szCs w:val="22"/>
              </w:rPr>
            </w:pPr>
            <w:r>
              <w:rPr>
                <w:color w:val="000000"/>
                <w:sz w:val="24"/>
                <w:szCs w:val="22"/>
              </w:rPr>
              <w:t>教授</w:t>
            </w:r>
          </w:p>
        </w:tc>
        <w:tc>
          <w:tcPr>
            <w:tcW w:w="1700"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color w:val="000000"/>
                <w:sz w:val="24"/>
                <w:szCs w:val="22"/>
              </w:rPr>
            </w:pPr>
            <w:r>
              <w:rPr>
                <w:color w:val="000000"/>
                <w:sz w:val="24"/>
                <w:szCs w:val="22"/>
              </w:rPr>
              <w:t>药理学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56" w:hRule="atLeast"/>
        </w:trPr>
        <w:tc>
          <w:tcPr>
            <w:tcW w:w="900"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eastAsia="宋体"/>
                <w:color w:val="000000"/>
                <w:sz w:val="24"/>
                <w:szCs w:val="22"/>
              </w:rPr>
            </w:pPr>
            <w:r>
              <w:rPr>
                <w:rFonts w:eastAsia="宋体"/>
                <w:color w:val="000000"/>
                <w:sz w:val="24"/>
                <w:szCs w:val="22"/>
              </w:rPr>
              <w:t>15</w:t>
            </w:r>
          </w:p>
        </w:tc>
        <w:tc>
          <w:tcPr>
            <w:tcW w:w="1369"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color w:val="000000"/>
                <w:sz w:val="24"/>
                <w:szCs w:val="22"/>
              </w:rPr>
            </w:pPr>
            <w:r>
              <w:rPr>
                <w:color w:val="000000"/>
                <w:sz w:val="24"/>
                <w:szCs w:val="22"/>
              </w:rPr>
              <w:t>吴先萍</w:t>
            </w:r>
          </w:p>
        </w:tc>
        <w:tc>
          <w:tcPr>
            <w:tcW w:w="3824" w:type="dxa"/>
            <w:tcBorders>
              <w:top w:val="single" w:color="auto" w:sz="4" w:space="0"/>
              <w:left w:val="single" w:color="auto" w:sz="4" w:space="0"/>
              <w:bottom w:val="single" w:color="auto" w:sz="4" w:space="0"/>
              <w:right w:val="single" w:color="auto" w:sz="4" w:space="0"/>
            </w:tcBorders>
            <w:vAlign w:val="center"/>
          </w:tcPr>
          <w:p>
            <w:pPr>
              <w:spacing w:line="560" w:lineRule="exact"/>
              <w:rPr>
                <w:color w:val="000000"/>
                <w:sz w:val="24"/>
                <w:szCs w:val="22"/>
              </w:rPr>
            </w:pPr>
            <w:r>
              <w:rPr>
                <w:color w:val="000000"/>
                <w:sz w:val="24"/>
                <w:szCs w:val="22"/>
              </w:rPr>
              <w:t>四川省疾病预防控制中心</w:t>
            </w:r>
          </w:p>
        </w:tc>
        <w:tc>
          <w:tcPr>
            <w:tcW w:w="1417"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color w:val="000000"/>
                <w:sz w:val="24"/>
                <w:szCs w:val="22"/>
              </w:rPr>
            </w:pPr>
            <w:r>
              <w:rPr>
                <w:color w:val="000000"/>
                <w:sz w:val="24"/>
                <w:szCs w:val="22"/>
              </w:rPr>
              <w:t>主任医师</w:t>
            </w:r>
          </w:p>
        </w:tc>
        <w:tc>
          <w:tcPr>
            <w:tcW w:w="1700"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color w:val="000000"/>
                <w:sz w:val="24"/>
                <w:szCs w:val="22"/>
              </w:rPr>
            </w:pPr>
            <w:r>
              <w:rPr>
                <w:color w:val="000000"/>
                <w:sz w:val="24"/>
                <w:szCs w:val="22"/>
              </w:rPr>
              <w:t>临床医学</w:t>
            </w:r>
          </w:p>
        </w:tc>
      </w:tr>
    </w:tbl>
    <w:p>
      <w:pPr>
        <w:spacing w:line="560" w:lineRule="exact"/>
        <w:rPr>
          <w:szCs w:val="32"/>
        </w:rPr>
      </w:pPr>
    </w:p>
    <w:p>
      <w:bookmarkStart w:id="45" w:name="_GoBack"/>
      <w:bookmarkEnd w:id="45"/>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方正小标宋简体">
    <w:altName w:val="Arial Unicode MS"/>
    <w:panose1 w:val="03000509000000000000"/>
    <w:charset w:val="86"/>
    <w:family w:val="script"/>
    <w:pitch w:val="default"/>
    <w:sig w:usb0="00000000" w:usb1="00000000" w:usb2="00000010" w:usb3="00000000" w:csb0="00040000" w:csb1="00000000"/>
  </w:font>
  <w:font w:name="方正小标宋_GBK">
    <w:altName w:val="Arial Unicode MS"/>
    <w:panose1 w:val="03000509000000000000"/>
    <w:charset w:val="86"/>
    <w:family w:val="script"/>
    <w:pitch w:val="default"/>
    <w:sig w:usb0="00000000" w:usb1="00000000" w:usb2="00000010" w:usb3="00000000" w:csb0="00040000" w:csb1="00000000"/>
  </w:font>
  <w:font w:name="Cambria Math">
    <w:panose1 w:val="02040503050406030204"/>
    <w:charset w:val="00"/>
    <w:family w:val="roman"/>
    <w:pitch w:val="default"/>
    <w:sig w:usb0="E00002FF" w:usb1="420024FF" w:usb2="00000000" w:usb3="00000000" w:csb0="2000019F" w:csb1="00000000"/>
  </w:font>
  <w:font w:name="楷体">
    <w:panose1 w:val="02010609060101010101"/>
    <w:charset w:val="86"/>
    <w:family w:val="modern"/>
    <w:pitch w:val="default"/>
    <w:sig w:usb0="800002BF" w:usb1="38CF7CFA" w:usb2="00000016" w:usb3="00000000" w:csb0="00040001" w:csb1="00000000"/>
  </w:font>
  <w:font w:name="Microsoft YaHei ??х?  ?墠 ??">
    <w:altName w:val="宋体"/>
    <w:panose1 w:val="00000000000000000000"/>
    <w:charset w:val="86"/>
    <w:family w:val="roman"/>
    <w:pitch w:val="default"/>
    <w:sig w:usb0="00000000" w:usb1="00000000" w:usb2="00000010" w:usb3="00000000" w:csb0="00040000" w:csb1="00000000"/>
  </w:font>
  <w:font w:name="华文仿宋">
    <w:panose1 w:val="02010600040101010101"/>
    <w:charset w:val="86"/>
    <w:family w:val="auto"/>
    <w:pitch w:val="default"/>
    <w:sig w:usb0="00000287" w:usb1="080F0000" w:usb2="00000000" w:usb3="00000000" w:csb0="0004009F" w:csb1="DFD70000"/>
  </w:font>
  <w:font w:name="华文中宋">
    <w:panose1 w:val="02010600040101010101"/>
    <w:charset w:val="86"/>
    <w:family w:val="auto"/>
    <w:pitch w:val="default"/>
    <w:sig w:usb0="00000287" w:usb1="080F0000" w:usb2="00000000" w:usb3="00000000" w:csb0="0004009F" w:csb1="DFD70000"/>
  </w:font>
  <w:font w:name="Arial Unicode MS">
    <w:panose1 w:val="020B0604020202020204"/>
    <w:charset w:val="86"/>
    <w:family w:val="auto"/>
    <w:pitch w:val="default"/>
    <w:sig w:usb0="FFFFFFFF" w:usb1="E9FFFFFF" w:usb2="0000003F" w:usb3="00000000" w:csb0="603F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8B247C5"/>
    <w:rsid w:val="4DDC2B92"/>
    <w:rsid w:val="58B247C5"/>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eastAsia="仿宋_GB2312" w:asciiTheme="minorHAnsi" w:hAnsiTheme="minorHAnsi" w:cstheme="minorBidi"/>
      <w:kern w:val="2"/>
      <w:sz w:val="32"/>
      <w:szCs w:val="22"/>
      <w:lang w:val="en-US" w:eastAsia="zh-CN" w:bidi="ar-SA"/>
    </w:rPr>
  </w:style>
  <w:style w:type="character" w:default="1" w:styleId="2">
    <w:name w:val="Default Paragraph Font"/>
    <w:semiHidden/>
    <w:uiPriority w:val="0"/>
  </w:style>
  <w:style w:type="table" w:default="1" w:styleId="3">
    <w:name w:val="Normal Table"/>
    <w:semiHidden/>
    <w:qFormat/>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Office_10.1.0.6156_F1E327BC-269C-435d-A152-05C5408002CA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2017-08-10T02:07:00Z</dcterms:created>
  <dc:creator>Administrator</dc:creator>
  <cp:lastModifiedBy>Administrator</cp:lastModifiedBy>
  <dcterms:modified xsi:type="dcterms:W3CDTF">2017-08-10T02:08:34Z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2052-10.1.0.6156</vt:lpwstr>
  </property>
</Properties>
</file>