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numPr>
          <w:numId w:val="0"/>
        </w:numPr>
        <w:suppressLineNumbers w:val="0"/>
        <w:jc w:val="left"/>
        <w:rPr>
          <w:rFonts w:hint="eastAsia" w:ascii="仿宋" w:hAnsi="仿宋" w:eastAsia="仿宋" w:cs="仿宋"/>
          <w:b/>
          <w:bCs/>
          <w:kern w:val="0"/>
          <w:sz w:val="30"/>
          <w:szCs w:val="30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kern w:val="0"/>
          <w:sz w:val="30"/>
          <w:szCs w:val="30"/>
          <w:lang w:val="en-US" w:eastAsia="zh-CN" w:bidi="ar"/>
        </w:rPr>
        <w:t>泛雅平台（电脑端）、学习通（手机端）操作视频</w:t>
      </w:r>
    </w:p>
    <w:p>
      <w:pPr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"https://special.zhexuezj.cn/mobile/mooc/tocourse/205791416?appId=1000&amp;from=timeline&amp;isappinstalled=0"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https://special.zhexuezj.cn/mobile/mooc/tocourse/205791416?appId=1000&amp;from=timeline&amp;isappinstalled=0</w:t>
      </w:r>
      <w:r>
        <w:rPr>
          <w:rFonts w:hint="eastAsia"/>
        </w:rPr>
        <w:fldChar w:fldCharType="end"/>
      </w:r>
    </w:p>
    <w:p>
      <w:pPr>
        <w:ind w:firstLine="600" w:firstLineChars="200"/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里面有详细的从注册、登录、建课、建班、授课、课前任务发布、授课、课堂互动、课后作业及成绩统计等各项操作的视频显示，老师们可以根据自己需要选择性进行学习。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B0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3"/>
    <w:qFormat/>
    <w:uiPriority w:val="0"/>
    <w:rPr>
      <w:color w:val="80008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2020-02-09T09:03:21Z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