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关于强化财务职能、提高财务服务能力的通知</w:t>
      </w:r>
    </w:p>
    <w:p>
      <w:pPr>
        <w:rPr>
          <w:sz w:val="28"/>
          <w:szCs w:val="28"/>
        </w:rPr>
      </w:pPr>
      <w:r>
        <w:rPr>
          <w:rFonts w:hint="eastAsia"/>
          <w:sz w:val="28"/>
          <w:szCs w:val="28"/>
        </w:rPr>
        <w:t>各处室、系部：</w:t>
      </w:r>
    </w:p>
    <w:p>
      <w:pPr>
        <w:ind w:firstLine="560" w:firstLineChars="200"/>
        <w:rPr>
          <w:rFonts w:hint="eastAsia"/>
          <w:sz w:val="28"/>
          <w:szCs w:val="28"/>
        </w:rPr>
      </w:pPr>
      <w:r>
        <w:rPr>
          <w:rFonts w:hint="eastAsia"/>
          <w:sz w:val="28"/>
          <w:szCs w:val="28"/>
        </w:rPr>
        <w:t>为进一步强化财务职能，向广大教职工提供更加方便快捷的服务，我处决定从2016年秋季学期开始面向全院提供对口服务，即每个部门安排一名计财处工作人员，对该部门发生的出差培训审批、薪酬查询、各种报销、政府采购、预算管理、公务卡相关事项等经济业务提供咨询、对接等服务。具体安排如下：</w:t>
      </w:r>
    </w:p>
    <w:p>
      <w:pPr>
        <w:ind w:firstLine="420"/>
        <w:jc w:val="center"/>
        <w:rPr>
          <w:sz w:val="24"/>
          <w:szCs w:val="24"/>
        </w:rPr>
      </w:pPr>
      <w:r>
        <w:rPr>
          <w:rFonts w:hint="eastAsia"/>
          <w:sz w:val="24"/>
          <w:szCs w:val="24"/>
        </w:rPr>
        <w:t>计划财务处对口服务安排表</w:t>
      </w:r>
    </w:p>
    <w:tbl>
      <w:tblPr>
        <w:tblStyle w:val="6"/>
        <w:tblW w:w="8931"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064"/>
        <w:gridCol w:w="2860"/>
        <w:gridCol w:w="200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5" w:hRule="atLeast"/>
        </w:trPr>
        <w:tc>
          <w:tcPr>
            <w:tcW w:w="4064" w:type="dxa"/>
            <w:vAlign w:val="center"/>
          </w:tcPr>
          <w:p>
            <w:pPr>
              <w:jc w:val="center"/>
              <w:rPr>
                <w:sz w:val="24"/>
                <w:szCs w:val="24"/>
              </w:rPr>
            </w:pPr>
            <w:r>
              <w:rPr>
                <w:rFonts w:hint="eastAsia"/>
                <w:sz w:val="24"/>
                <w:szCs w:val="24"/>
              </w:rPr>
              <w:t>部门</w:t>
            </w:r>
          </w:p>
        </w:tc>
        <w:tc>
          <w:tcPr>
            <w:tcW w:w="2860" w:type="dxa"/>
            <w:vAlign w:val="center"/>
          </w:tcPr>
          <w:p>
            <w:pPr>
              <w:jc w:val="center"/>
              <w:rPr>
                <w:sz w:val="24"/>
                <w:szCs w:val="24"/>
              </w:rPr>
            </w:pPr>
            <w:r>
              <w:rPr>
                <w:rFonts w:hint="eastAsia"/>
                <w:sz w:val="24"/>
                <w:szCs w:val="24"/>
              </w:rPr>
              <w:t>计财处对接人员</w:t>
            </w:r>
          </w:p>
        </w:tc>
        <w:tc>
          <w:tcPr>
            <w:tcW w:w="2007" w:type="dxa"/>
            <w:vAlign w:val="center"/>
          </w:tcPr>
          <w:p>
            <w:pPr>
              <w:jc w:val="center"/>
              <w:rPr>
                <w:sz w:val="24"/>
                <w:szCs w:val="24"/>
              </w:rPr>
            </w:pPr>
            <w:r>
              <w:rPr>
                <w:rFonts w:hint="eastAsia"/>
                <w:sz w:val="24"/>
                <w:szCs w:val="24"/>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3" w:hRule="atLeast"/>
        </w:trPr>
        <w:tc>
          <w:tcPr>
            <w:tcW w:w="4064" w:type="dxa"/>
            <w:vAlign w:val="center"/>
          </w:tcPr>
          <w:p>
            <w:pPr>
              <w:jc w:val="center"/>
              <w:rPr>
                <w:sz w:val="24"/>
                <w:szCs w:val="24"/>
              </w:rPr>
            </w:pPr>
            <w:r>
              <w:rPr>
                <w:rFonts w:hint="eastAsia"/>
                <w:sz w:val="24"/>
                <w:szCs w:val="24"/>
              </w:rPr>
              <w:t>党委办公室</w:t>
            </w:r>
          </w:p>
        </w:tc>
        <w:tc>
          <w:tcPr>
            <w:tcW w:w="2860" w:type="dxa"/>
            <w:vMerge w:val="restart"/>
            <w:vAlign w:val="center"/>
          </w:tcPr>
          <w:p>
            <w:pPr>
              <w:jc w:val="center"/>
              <w:rPr>
                <w:sz w:val="24"/>
                <w:szCs w:val="24"/>
              </w:rPr>
            </w:pPr>
            <w:r>
              <w:rPr>
                <w:rFonts w:hint="eastAsia"/>
                <w:sz w:val="24"/>
                <w:szCs w:val="24"/>
              </w:rPr>
              <w:t>丁英</w:t>
            </w:r>
          </w:p>
        </w:tc>
        <w:tc>
          <w:tcPr>
            <w:tcW w:w="2007" w:type="dxa"/>
            <w:vMerge w:val="restart"/>
            <w:vAlign w:val="center"/>
          </w:tcPr>
          <w:p>
            <w:pPr>
              <w:jc w:val="center"/>
              <w:rPr>
                <w:sz w:val="24"/>
                <w:szCs w:val="24"/>
              </w:rPr>
            </w:pPr>
            <w:r>
              <w:rPr>
                <w:rFonts w:hint="eastAsia"/>
                <w:sz w:val="24"/>
                <w:szCs w:val="24"/>
              </w:rPr>
              <w:t>62164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1" w:hRule="atLeast"/>
        </w:trPr>
        <w:tc>
          <w:tcPr>
            <w:tcW w:w="4064" w:type="dxa"/>
            <w:vAlign w:val="center"/>
          </w:tcPr>
          <w:p>
            <w:pPr>
              <w:jc w:val="center"/>
              <w:rPr>
                <w:rFonts w:hint="eastAsia"/>
                <w:sz w:val="24"/>
                <w:szCs w:val="24"/>
              </w:rPr>
            </w:pPr>
            <w:r>
              <w:rPr>
                <w:rFonts w:hint="eastAsia"/>
                <w:sz w:val="24"/>
                <w:szCs w:val="24"/>
              </w:rPr>
              <w:t>检验系</w:t>
            </w:r>
          </w:p>
        </w:tc>
        <w:tc>
          <w:tcPr>
            <w:tcW w:w="2860" w:type="dxa"/>
            <w:vMerge w:val="continue"/>
            <w:vAlign w:val="center"/>
          </w:tcPr>
          <w:p>
            <w:pPr>
              <w:jc w:val="center"/>
              <w:rPr>
                <w:sz w:val="24"/>
                <w:szCs w:val="24"/>
              </w:rPr>
            </w:pPr>
          </w:p>
        </w:tc>
        <w:tc>
          <w:tcPr>
            <w:tcW w:w="2007" w:type="dxa"/>
            <w:vMerge w:val="continue"/>
            <w:vAlign w:val="center"/>
          </w:tcPr>
          <w:p>
            <w:pPr>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59" w:hRule="atLeast"/>
        </w:trPr>
        <w:tc>
          <w:tcPr>
            <w:tcW w:w="4064" w:type="dxa"/>
            <w:vAlign w:val="center"/>
          </w:tcPr>
          <w:p>
            <w:pPr>
              <w:jc w:val="center"/>
              <w:rPr>
                <w:sz w:val="24"/>
                <w:szCs w:val="24"/>
              </w:rPr>
            </w:pPr>
            <w:r>
              <w:rPr>
                <w:rFonts w:hint="eastAsia"/>
                <w:sz w:val="24"/>
                <w:szCs w:val="24"/>
              </w:rPr>
              <w:t>学生工作处</w:t>
            </w:r>
          </w:p>
        </w:tc>
        <w:tc>
          <w:tcPr>
            <w:tcW w:w="2860" w:type="dxa"/>
            <w:vMerge w:val="restart"/>
            <w:vAlign w:val="center"/>
          </w:tcPr>
          <w:p>
            <w:pPr>
              <w:jc w:val="center"/>
              <w:rPr>
                <w:sz w:val="24"/>
                <w:szCs w:val="24"/>
              </w:rPr>
            </w:pPr>
            <w:r>
              <w:rPr>
                <w:rFonts w:hint="eastAsia"/>
                <w:sz w:val="24"/>
                <w:szCs w:val="24"/>
              </w:rPr>
              <w:t>李文韬</w:t>
            </w:r>
          </w:p>
        </w:tc>
        <w:tc>
          <w:tcPr>
            <w:tcW w:w="2007" w:type="dxa"/>
            <w:vMerge w:val="restart"/>
            <w:vAlign w:val="center"/>
          </w:tcPr>
          <w:p>
            <w:pPr>
              <w:jc w:val="center"/>
              <w:rPr>
                <w:sz w:val="24"/>
                <w:szCs w:val="24"/>
              </w:rPr>
            </w:pPr>
            <w:r>
              <w:rPr>
                <w:rFonts w:hint="eastAsia"/>
                <w:sz w:val="24"/>
                <w:szCs w:val="24"/>
              </w:rPr>
              <w:t>62154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81" w:hRule="atLeast"/>
        </w:trPr>
        <w:tc>
          <w:tcPr>
            <w:tcW w:w="4064" w:type="dxa"/>
            <w:vAlign w:val="center"/>
          </w:tcPr>
          <w:p>
            <w:pPr>
              <w:jc w:val="center"/>
              <w:rPr>
                <w:rFonts w:hint="eastAsia"/>
                <w:sz w:val="24"/>
                <w:szCs w:val="24"/>
              </w:rPr>
            </w:pPr>
            <w:r>
              <w:rPr>
                <w:rFonts w:hint="eastAsia"/>
                <w:sz w:val="24"/>
                <w:szCs w:val="24"/>
              </w:rPr>
              <w:t>药学系</w:t>
            </w:r>
          </w:p>
        </w:tc>
        <w:tc>
          <w:tcPr>
            <w:tcW w:w="2860" w:type="dxa"/>
            <w:vMerge w:val="continue"/>
            <w:vAlign w:val="center"/>
          </w:tcPr>
          <w:p>
            <w:pPr>
              <w:jc w:val="center"/>
              <w:rPr>
                <w:sz w:val="24"/>
                <w:szCs w:val="24"/>
              </w:rPr>
            </w:pPr>
          </w:p>
        </w:tc>
        <w:tc>
          <w:tcPr>
            <w:tcW w:w="2007" w:type="dxa"/>
            <w:vMerge w:val="continue"/>
            <w:vAlign w:val="center"/>
          </w:tcPr>
          <w:p>
            <w:pPr>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2" w:hRule="atLeast"/>
        </w:trPr>
        <w:tc>
          <w:tcPr>
            <w:tcW w:w="4064" w:type="dxa"/>
            <w:vAlign w:val="center"/>
          </w:tcPr>
          <w:p>
            <w:pPr>
              <w:jc w:val="center"/>
              <w:rPr>
                <w:sz w:val="24"/>
                <w:szCs w:val="24"/>
              </w:rPr>
            </w:pPr>
            <w:r>
              <w:rPr>
                <w:rFonts w:hint="eastAsia"/>
                <w:sz w:val="24"/>
                <w:szCs w:val="24"/>
              </w:rPr>
              <w:t>护理系</w:t>
            </w:r>
          </w:p>
        </w:tc>
        <w:tc>
          <w:tcPr>
            <w:tcW w:w="2860" w:type="dxa"/>
            <w:vMerge w:val="continue"/>
            <w:vAlign w:val="center"/>
          </w:tcPr>
          <w:p>
            <w:pPr>
              <w:jc w:val="center"/>
              <w:rPr>
                <w:sz w:val="24"/>
                <w:szCs w:val="24"/>
              </w:rPr>
            </w:pPr>
          </w:p>
        </w:tc>
        <w:tc>
          <w:tcPr>
            <w:tcW w:w="2007" w:type="dxa"/>
            <w:vMerge w:val="continue"/>
            <w:vAlign w:val="center"/>
          </w:tcPr>
          <w:p>
            <w:pPr>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0" w:hRule="atLeast"/>
        </w:trPr>
        <w:tc>
          <w:tcPr>
            <w:tcW w:w="4064" w:type="dxa"/>
            <w:vAlign w:val="center"/>
          </w:tcPr>
          <w:p>
            <w:pPr>
              <w:jc w:val="center"/>
              <w:rPr>
                <w:sz w:val="24"/>
                <w:szCs w:val="24"/>
              </w:rPr>
            </w:pPr>
            <w:r>
              <w:rPr>
                <w:rFonts w:hint="eastAsia"/>
                <w:sz w:val="24"/>
                <w:szCs w:val="24"/>
              </w:rPr>
              <w:t>评建办</w:t>
            </w:r>
          </w:p>
        </w:tc>
        <w:tc>
          <w:tcPr>
            <w:tcW w:w="2860" w:type="dxa"/>
            <w:vMerge w:val="restart"/>
            <w:vAlign w:val="center"/>
          </w:tcPr>
          <w:p>
            <w:pPr>
              <w:jc w:val="center"/>
              <w:rPr>
                <w:sz w:val="24"/>
                <w:szCs w:val="24"/>
              </w:rPr>
            </w:pPr>
            <w:r>
              <w:rPr>
                <w:rFonts w:hint="eastAsia"/>
                <w:sz w:val="24"/>
                <w:szCs w:val="24"/>
              </w:rPr>
              <w:t>叶师旗</w:t>
            </w:r>
          </w:p>
        </w:tc>
        <w:tc>
          <w:tcPr>
            <w:tcW w:w="2007" w:type="dxa"/>
            <w:vMerge w:val="restart"/>
            <w:vAlign w:val="center"/>
          </w:tcPr>
          <w:p>
            <w:pPr>
              <w:jc w:val="center"/>
              <w:rPr>
                <w:rFonts w:hint="eastAsia" w:eastAsiaTheme="minorEastAsia"/>
                <w:sz w:val="24"/>
                <w:szCs w:val="24"/>
                <w:lang w:eastAsia="zh-CN"/>
              </w:rPr>
            </w:pPr>
            <w:r>
              <w:rPr>
                <w:rFonts w:hint="eastAsia"/>
                <w:sz w:val="24"/>
                <w:szCs w:val="24"/>
                <w:lang w:val="en-US" w:eastAsia="zh-CN"/>
              </w:rPr>
              <w:t>62182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2" w:hRule="atLeast"/>
        </w:trPr>
        <w:tc>
          <w:tcPr>
            <w:tcW w:w="4064" w:type="dxa"/>
            <w:vAlign w:val="center"/>
          </w:tcPr>
          <w:p>
            <w:pPr>
              <w:jc w:val="center"/>
              <w:rPr>
                <w:sz w:val="24"/>
                <w:szCs w:val="24"/>
              </w:rPr>
            </w:pPr>
            <w:r>
              <w:rPr>
                <w:rFonts w:hint="eastAsia"/>
                <w:sz w:val="24"/>
                <w:szCs w:val="24"/>
              </w:rPr>
              <w:t>康复系</w:t>
            </w:r>
          </w:p>
        </w:tc>
        <w:tc>
          <w:tcPr>
            <w:tcW w:w="2860" w:type="dxa"/>
            <w:vMerge w:val="continue"/>
            <w:vAlign w:val="center"/>
          </w:tcPr>
          <w:p>
            <w:pPr>
              <w:jc w:val="center"/>
              <w:rPr>
                <w:sz w:val="24"/>
                <w:szCs w:val="24"/>
              </w:rPr>
            </w:pPr>
          </w:p>
        </w:tc>
        <w:tc>
          <w:tcPr>
            <w:tcW w:w="2007" w:type="dxa"/>
            <w:vMerge w:val="continue"/>
            <w:vAlign w:val="center"/>
          </w:tcPr>
          <w:p>
            <w:pPr>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8" w:hRule="atLeast"/>
        </w:trPr>
        <w:tc>
          <w:tcPr>
            <w:tcW w:w="4064" w:type="dxa"/>
            <w:vAlign w:val="center"/>
          </w:tcPr>
          <w:p>
            <w:pPr>
              <w:jc w:val="center"/>
              <w:rPr>
                <w:sz w:val="24"/>
                <w:szCs w:val="24"/>
              </w:rPr>
            </w:pPr>
            <w:r>
              <w:rPr>
                <w:rFonts w:hint="eastAsia"/>
                <w:sz w:val="24"/>
                <w:szCs w:val="24"/>
              </w:rPr>
              <w:t>教务处</w:t>
            </w:r>
          </w:p>
        </w:tc>
        <w:tc>
          <w:tcPr>
            <w:tcW w:w="2860" w:type="dxa"/>
            <w:vMerge w:val="restart"/>
            <w:vAlign w:val="center"/>
          </w:tcPr>
          <w:p>
            <w:pPr>
              <w:jc w:val="center"/>
              <w:rPr>
                <w:sz w:val="24"/>
                <w:szCs w:val="24"/>
              </w:rPr>
            </w:pPr>
            <w:r>
              <w:rPr>
                <w:rFonts w:hint="eastAsia"/>
                <w:sz w:val="24"/>
                <w:szCs w:val="24"/>
              </w:rPr>
              <w:t>童运超</w:t>
            </w:r>
          </w:p>
        </w:tc>
        <w:tc>
          <w:tcPr>
            <w:tcW w:w="2007" w:type="dxa"/>
            <w:vMerge w:val="restart"/>
            <w:vAlign w:val="center"/>
          </w:tcPr>
          <w:p>
            <w:pPr>
              <w:jc w:val="center"/>
              <w:rPr>
                <w:sz w:val="24"/>
                <w:szCs w:val="24"/>
              </w:rPr>
            </w:pPr>
            <w:r>
              <w:rPr>
                <w:rFonts w:hint="eastAsia"/>
                <w:sz w:val="24"/>
                <w:szCs w:val="24"/>
              </w:rPr>
              <w:t>62250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4" w:hRule="atLeast"/>
        </w:trPr>
        <w:tc>
          <w:tcPr>
            <w:tcW w:w="4064" w:type="dxa"/>
            <w:vAlign w:val="center"/>
          </w:tcPr>
          <w:p>
            <w:pPr>
              <w:jc w:val="center"/>
              <w:rPr>
                <w:rFonts w:hint="eastAsia"/>
                <w:sz w:val="24"/>
                <w:szCs w:val="24"/>
              </w:rPr>
            </w:pPr>
            <w:r>
              <w:rPr>
                <w:rFonts w:hint="eastAsia"/>
                <w:sz w:val="24"/>
                <w:szCs w:val="24"/>
              </w:rPr>
              <w:t>行政办公室</w:t>
            </w:r>
          </w:p>
        </w:tc>
        <w:tc>
          <w:tcPr>
            <w:tcW w:w="2860" w:type="dxa"/>
            <w:vMerge w:val="continue"/>
            <w:vAlign w:val="center"/>
          </w:tcPr>
          <w:p>
            <w:pPr>
              <w:jc w:val="center"/>
              <w:rPr>
                <w:sz w:val="24"/>
                <w:szCs w:val="24"/>
              </w:rPr>
            </w:pPr>
          </w:p>
        </w:tc>
        <w:tc>
          <w:tcPr>
            <w:tcW w:w="2007" w:type="dxa"/>
            <w:vMerge w:val="continue"/>
            <w:vAlign w:val="center"/>
          </w:tcPr>
          <w:p>
            <w:pPr>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6" w:hRule="atLeast"/>
        </w:trPr>
        <w:tc>
          <w:tcPr>
            <w:tcW w:w="4064" w:type="dxa"/>
            <w:vAlign w:val="center"/>
          </w:tcPr>
          <w:p>
            <w:pPr>
              <w:jc w:val="center"/>
              <w:rPr>
                <w:sz w:val="24"/>
                <w:szCs w:val="24"/>
              </w:rPr>
            </w:pPr>
            <w:r>
              <w:rPr>
                <w:rFonts w:hint="eastAsia"/>
                <w:sz w:val="24"/>
                <w:szCs w:val="24"/>
              </w:rPr>
              <w:t>基础医学部</w:t>
            </w:r>
          </w:p>
        </w:tc>
        <w:tc>
          <w:tcPr>
            <w:tcW w:w="2860" w:type="dxa"/>
            <w:vMerge w:val="continue"/>
            <w:vAlign w:val="center"/>
          </w:tcPr>
          <w:p>
            <w:pPr>
              <w:jc w:val="center"/>
              <w:rPr>
                <w:sz w:val="24"/>
                <w:szCs w:val="24"/>
              </w:rPr>
            </w:pPr>
          </w:p>
        </w:tc>
        <w:tc>
          <w:tcPr>
            <w:tcW w:w="2007" w:type="dxa"/>
            <w:vMerge w:val="continue"/>
            <w:vAlign w:val="center"/>
          </w:tcPr>
          <w:p>
            <w:pPr>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3" w:hRule="atLeast"/>
        </w:trPr>
        <w:tc>
          <w:tcPr>
            <w:tcW w:w="4064" w:type="dxa"/>
            <w:vAlign w:val="center"/>
          </w:tcPr>
          <w:p>
            <w:pPr>
              <w:jc w:val="center"/>
              <w:rPr>
                <w:sz w:val="24"/>
                <w:szCs w:val="24"/>
              </w:rPr>
            </w:pPr>
            <w:r>
              <w:rPr>
                <w:rFonts w:hint="eastAsia"/>
                <w:sz w:val="24"/>
                <w:szCs w:val="24"/>
              </w:rPr>
              <w:t>后勤保障处</w:t>
            </w:r>
          </w:p>
        </w:tc>
        <w:tc>
          <w:tcPr>
            <w:tcW w:w="2860" w:type="dxa"/>
            <w:vMerge w:val="restart"/>
            <w:vAlign w:val="center"/>
          </w:tcPr>
          <w:p>
            <w:pPr>
              <w:jc w:val="center"/>
              <w:rPr>
                <w:sz w:val="24"/>
                <w:szCs w:val="24"/>
              </w:rPr>
            </w:pPr>
            <w:r>
              <w:rPr>
                <w:rFonts w:hint="eastAsia"/>
                <w:sz w:val="24"/>
                <w:szCs w:val="24"/>
              </w:rPr>
              <w:t>陈东</w:t>
            </w:r>
          </w:p>
        </w:tc>
        <w:tc>
          <w:tcPr>
            <w:tcW w:w="2007" w:type="dxa"/>
            <w:vMerge w:val="restart"/>
            <w:vAlign w:val="center"/>
          </w:tcPr>
          <w:p>
            <w:pPr>
              <w:jc w:val="center"/>
              <w:rPr>
                <w:sz w:val="24"/>
                <w:szCs w:val="24"/>
              </w:rPr>
            </w:pPr>
            <w:r>
              <w:rPr>
                <w:rFonts w:hint="eastAsia"/>
                <w:sz w:val="24"/>
                <w:szCs w:val="24"/>
              </w:rPr>
              <w:t>62184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57" w:hRule="atLeast"/>
        </w:trPr>
        <w:tc>
          <w:tcPr>
            <w:tcW w:w="4064" w:type="dxa"/>
            <w:vAlign w:val="center"/>
          </w:tcPr>
          <w:p>
            <w:pPr>
              <w:jc w:val="center"/>
              <w:rPr>
                <w:sz w:val="24"/>
                <w:szCs w:val="24"/>
              </w:rPr>
            </w:pPr>
            <w:r>
              <w:rPr>
                <w:rFonts w:hint="eastAsia"/>
                <w:sz w:val="24"/>
                <w:szCs w:val="24"/>
              </w:rPr>
              <w:t>影像系</w:t>
            </w:r>
          </w:p>
        </w:tc>
        <w:tc>
          <w:tcPr>
            <w:tcW w:w="2860" w:type="dxa"/>
            <w:vMerge w:val="continue"/>
            <w:vAlign w:val="center"/>
          </w:tcPr>
          <w:p>
            <w:pPr>
              <w:jc w:val="center"/>
              <w:rPr>
                <w:sz w:val="24"/>
                <w:szCs w:val="24"/>
              </w:rPr>
            </w:pPr>
          </w:p>
        </w:tc>
        <w:tc>
          <w:tcPr>
            <w:tcW w:w="2007" w:type="dxa"/>
            <w:vMerge w:val="continue"/>
            <w:vAlign w:val="center"/>
          </w:tcPr>
          <w:p>
            <w:pPr>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79" w:hRule="atLeast"/>
        </w:trPr>
        <w:tc>
          <w:tcPr>
            <w:tcW w:w="4064" w:type="dxa"/>
            <w:vAlign w:val="center"/>
          </w:tcPr>
          <w:p>
            <w:pPr>
              <w:jc w:val="center"/>
              <w:rPr>
                <w:sz w:val="24"/>
                <w:szCs w:val="24"/>
              </w:rPr>
            </w:pPr>
            <w:r>
              <w:rPr>
                <w:rFonts w:hint="eastAsia"/>
                <w:sz w:val="24"/>
                <w:szCs w:val="24"/>
              </w:rPr>
              <w:t>继续培训处</w:t>
            </w:r>
          </w:p>
        </w:tc>
        <w:tc>
          <w:tcPr>
            <w:tcW w:w="2860" w:type="dxa"/>
            <w:vMerge w:val="restart"/>
            <w:vAlign w:val="center"/>
          </w:tcPr>
          <w:p>
            <w:pPr>
              <w:jc w:val="center"/>
              <w:rPr>
                <w:sz w:val="24"/>
                <w:szCs w:val="24"/>
              </w:rPr>
            </w:pPr>
            <w:r>
              <w:rPr>
                <w:rFonts w:hint="eastAsia"/>
                <w:sz w:val="24"/>
                <w:szCs w:val="24"/>
              </w:rPr>
              <w:t>谭惠</w:t>
            </w:r>
          </w:p>
        </w:tc>
        <w:tc>
          <w:tcPr>
            <w:tcW w:w="2007" w:type="dxa"/>
            <w:vMerge w:val="restart"/>
            <w:vAlign w:val="center"/>
          </w:tcPr>
          <w:p>
            <w:pPr>
              <w:jc w:val="center"/>
              <w:rPr>
                <w:sz w:val="24"/>
                <w:szCs w:val="24"/>
              </w:rPr>
            </w:pPr>
            <w:r>
              <w:rPr>
                <w:rFonts w:hint="eastAsia"/>
                <w:sz w:val="24"/>
                <w:szCs w:val="24"/>
              </w:rPr>
              <w:t>62170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3" w:hRule="atLeast"/>
        </w:trPr>
        <w:tc>
          <w:tcPr>
            <w:tcW w:w="4064" w:type="dxa"/>
            <w:vAlign w:val="center"/>
          </w:tcPr>
          <w:p>
            <w:pPr>
              <w:jc w:val="center"/>
              <w:rPr>
                <w:rFonts w:hint="eastAsia"/>
                <w:sz w:val="24"/>
                <w:szCs w:val="24"/>
              </w:rPr>
            </w:pPr>
            <w:r>
              <w:rPr>
                <w:rFonts w:hint="eastAsia"/>
                <w:sz w:val="24"/>
                <w:szCs w:val="24"/>
              </w:rPr>
              <w:t>科研处</w:t>
            </w:r>
          </w:p>
        </w:tc>
        <w:tc>
          <w:tcPr>
            <w:tcW w:w="2860" w:type="dxa"/>
            <w:vMerge w:val="continue"/>
          </w:tcPr>
          <w:p>
            <w:pPr>
              <w:rPr>
                <w:sz w:val="24"/>
                <w:szCs w:val="24"/>
              </w:rPr>
            </w:pPr>
          </w:p>
        </w:tc>
        <w:tc>
          <w:tcPr>
            <w:tcW w:w="2007" w:type="dxa"/>
            <w:vMerge w:val="continue"/>
          </w:tcPr>
          <w:p>
            <w:pP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 w:hRule="atLeast"/>
        </w:trPr>
        <w:tc>
          <w:tcPr>
            <w:tcW w:w="4064" w:type="dxa"/>
            <w:vAlign w:val="center"/>
          </w:tcPr>
          <w:p>
            <w:pPr>
              <w:jc w:val="center"/>
              <w:rPr>
                <w:rFonts w:hint="eastAsia"/>
                <w:sz w:val="24"/>
                <w:szCs w:val="24"/>
              </w:rPr>
            </w:pPr>
            <w:r>
              <w:rPr>
                <w:rFonts w:hint="eastAsia"/>
                <w:sz w:val="24"/>
                <w:szCs w:val="24"/>
              </w:rPr>
              <w:t>人文社科部</w:t>
            </w:r>
          </w:p>
        </w:tc>
        <w:tc>
          <w:tcPr>
            <w:tcW w:w="2860" w:type="dxa"/>
            <w:vMerge w:val="continue"/>
          </w:tcPr>
          <w:p>
            <w:pPr>
              <w:rPr>
                <w:sz w:val="24"/>
                <w:szCs w:val="24"/>
              </w:rPr>
            </w:pPr>
          </w:p>
        </w:tc>
        <w:tc>
          <w:tcPr>
            <w:tcW w:w="2007" w:type="dxa"/>
            <w:vMerge w:val="continue"/>
          </w:tcPr>
          <w:p>
            <w:pPr>
              <w:rPr>
                <w:sz w:val="24"/>
                <w:szCs w:val="24"/>
              </w:rPr>
            </w:pPr>
          </w:p>
        </w:tc>
      </w:tr>
    </w:tbl>
    <w:p>
      <w:pPr>
        <w:rPr>
          <w:rFonts w:hint="eastAsia"/>
          <w:sz w:val="28"/>
          <w:szCs w:val="28"/>
        </w:rPr>
      </w:pPr>
      <w:r>
        <w:rPr>
          <w:rFonts w:hint="eastAsia"/>
          <w:sz w:val="28"/>
          <w:szCs w:val="28"/>
        </w:rPr>
        <w:t xml:space="preserve">   各部门经济业务经办人员在办理财务相关流程时可及时联系我处对接人员，我处对接人员按照首问负责制的原则将全程协助办理相关财务手续，为广大教职工提供更加优质的服务。</w:t>
      </w:r>
    </w:p>
    <w:p>
      <w:pPr>
        <w:rPr>
          <w:rFonts w:hint="eastAsia"/>
          <w:sz w:val="28"/>
          <w:szCs w:val="28"/>
        </w:rPr>
      </w:pPr>
      <w:r>
        <w:rPr>
          <w:rFonts w:hint="eastAsia"/>
          <w:sz w:val="28"/>
          <w:szCs w:val="28"/>
        </w:rPr>
        <w:t xml:space="preserve">   特此通知</w:t>
      </w:r>
    </w:p>
    <w:p>
      <w:pPr>
        <w:jc w:val="right"/>
        <w:rPr>
          <w:rFonts w:hint="eastAsia"/>
          <w:sz w:val="28"/>
          <w:szCs w:val="28"/>
        </w:rPr>
      </w:pPr>
      <w:r>
        <w:rPr>
          <w:rFonts w:hint="eastAsia"/>
          <w:sz w:val="28"/>
          <w:szCs w:val="28"/>
        </w:rPr>
        <w:t xml:space="preserve"> 计划财务处</w:t>
      </w:r>
    </w:p>
    <w:p>
      <w:pPr>
        <w:jc w:val="right"/>
        <w:rPr>
          <w:rFonts w:hint="eastAsia" w:eastAsiaTheme="minorEastAsia"/>
          <w:sz w:val="28"/>
          <w:szCs w:val="28"/>
          <w:lang w:val="en-US" w:eastAsia="zh-CN"/>
        </w:rPr>
      </w:pPr>
      <w:r>
        <w:rPr>
          <w:rFonts w:hint="eastAsia"/>
          <w:sz w:val="28"/>
          <w:szCs w:val="28"/>
          <w:lang w:val="en-US" w:eastAsia="zh-CN"/>
        </w:rPr>
        <w:t>2016年9月26日</w:t>
      </w:r>
      <w:bookmarkStart w:id="0" w:name="_GoBack"/>
      <w:bookmarkEnd w:id="0"/>
    </w:p>
    <w:sectPr>
      <w:pgSz w:w="11906" w:h="16838"/>
      <w:pgMar w:top="986" w:right="1800" w:bottom="986"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04B66"/>
    <w:rsid w:val="000E1961"/>
    <w:rsid w:val="00161A74"/>
    <w:rsid w:val="00204B84"/>
    <w:rsid w:val="00231090"/>
    <w:rsid w:val="0024285C"/>
    <w:rsid w:val="00250B84"/>
    <w:rsid w:val="002B25FA"/>
    <w:rsid w:val="002E01EF"/>
    <w:rsid w:val="002E6CB0"/>
    <w:rsid w:val="00325341"/>
    <w:rsid w:val="00406C2D"/>
    <w:rsid w:val="004453C2"/>
    <w:rsid w:val="004C2112"/>
    <w:rsid w:val="004C5677"/>
    <w:rsid w:val="004C78C3"/>
    <w:rsid w:val="004D2615"/>
    <w:rsid w:val="005020D0"/>
    <w:rsid w:val="00504B66"/>
    <w:rsid w:val="005255C8"/>
    <w:rsid w:val="00570011"/>
    <w:rsid w:val="00670B5F"/>
    <w:rsid w:val="006F7C90"/>
    <w:rsid w:val="0083242A"/>
    <w:rsid w:val="00925CD4"/>
    <w:rsid w:val="009A1EB3"/>
    <w:rsid w:val="009E1C35"/>
    <w:rsid w:val="009E5898"/>
    <w:rsid w:val="00B66EE4"/>
    <w:rsid w:val="00C4054F"/>
    <w:rsid w:val="00C76736"/>
    <w:rsid w:val="00CA08A3"/>
    <w:rsid w:val="00CC7383"/>
    <w:rsid w:val="00D10393"/>
    <w:rsid w:val="00D742C6"/>
    <w:rsid w:val="00DA1B6E"/>
    <w:rsid w:val="00DD37DF"/>
    <w:rsid w:val="00E11993"/>
    <w:rsid w:val="00E76B0E"/>
    <w:rsid w:val="00F22D8E"/>
    <w:rsid w:val="059E3CE5"/>
    <w:rsid w:val="190717DB"/>
    <w:rsid w:val="274950B9"/>
    <w:rsid w:val="2ED24C32"/>
    <w:rsid w:val="32425D4E"/>
    <w:rsid w:val="3D7241D9"/>
    <w:rsid w:val="41690D96"/>
    <w:rsid w:val="41CA0C80"/>
    <w:rsid w:val="45847246"/>
    <w:rsid w:val="4A2C0937"/>
    <w:rsid w:val="4EE247B8"/>
    <w:rsid w:val="5A4A4609"/>
    <w:rsid w:val="5EA042CC"/>
    <w:rsid w:val="60FD3B65"/>
    <w:rsid w:val="66345165"/>
    <w:rsid w:val="6659796E"/>
    <w:rsid w:val="681676B7"/>
    <w:rsid w:val="74490896"/>
    <w:rsid w:val="7E0D61B1"/>
    <w:rsid w:val="7F641150"/>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styleId="7">
    <w:name w:val="Light Shading Accent 5"/>
    <w:basedOn w:val="5"/>
    <w:qFormat/>
    <w:uiPriority w:val="60"/>
    <w:rPr>
      <w:color w:val="31849B" w:themeColor="accent5" w:themeShade="BF"/>
    </w:rPr>
    <w:tblPr>
      <w:tblBorders>
        <w:top w:val="single" w:color="4BACC6" w:themeColor="accent5" w:sz="8" w:space="0"/>
        <w:bottom w:val="single" w:color="4BACC6" w:themeColor="accent5"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blLayout w:type="fixed"/>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2EAF0" w:themeFill="accent5" w:themeFillTint="3F"/>
      </w:tcPr>
    </w:tblStylePr>
    <w:tblStylePr w:type="band1Horz">
      <w:tblPr>
        <w:tblLayout w:type="fixed"/>
      </w:tblPr>
      <w:tcPr>
        <w:tcBorders>
          <w:left w:val="nil"/>
          <w:right w:val="nil"/>
          <w:insideH w:val="nil"/>
          <w:insideV w:val="nil"/>
        </w:tcBorders>
        <w:shd w:val="clear" w:color="auto" w:fill="D2EAF0" w:themeFill="accent5" w:themeFillTint="3F"/>
      </w:tcPr>
    </w:tblStylePr>
  </w:style>
  <w:style w:type="character" w:customStyle="1" w:styleId="8">
    <w:name w:val="页眉 Char"/>
    <w:basedOn w:val="4"/>
    <w:link w:val="3"/>
    <w:semiHidden/>
    <w:uiPriority w:val="99"/>
    <w:rPr>
      <w:sz w:val="18"/>
      <w:szCs w:val="18"/>
    </w:rPr>
  </w:style>
  <w:style w:type="character" w:customStyle="1" w:styleId="9">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76</Words>
  <Characters>434</Characters>
  <Lines>3</Lines>
  <Paragraphs>1</Paragraphs>
  <ScaleCrop>false</ScaleCrop>
  <LinksUpToDate>false</LinksUpToDate>
  <CharactersWithSpaces>509</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2016-07-22T02:37:00Z</dcterms:created>
  <dc:creator>Administrator</dc:creator>
  <cp:lastModifiedBy>Administrator</cp:lastModifiedBy>
  <dcterms:modified xsi:type="dcterms:W3CDTF">2016-09-26T08:42:16Z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