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1</w:t>
      </w:r>
    </w:p>
    <w:bookmarkEnd w:id="0"/>
    <w:p>
      <w:pPr>
        <w:adjustRightInd w:val="0"/>
        <w:snapToGrid w:val="0"/>
        <w:jc w:val="left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四川卫生康复职业学院2022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纪检监督</w:t>
      </w:r>
    </w:p>
    <w:p>
      <w:pPr>
        <w:adjustRightInd w:val="0"/>
        <w:snapToGrid w:val="0"/>
        <w:jc w:val="center"/>
        <w:rPr>
          <w:rFonts w:hint="eastAsia" w:ascii="仿宋_GB2312" w:hAnsi="仿宋_GB2312" w:cs="仿宋_GB231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专项课题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指南</w:t>
      </w:r>
    </w:p>
    <w:p>
      <w:pPr>
        <w:snapToGrid w:val="0"/>
        <w:ind w:firstLine="417" w:firstLineChars="199"/>
        <w:rPr>
          <w:rFonts w:hint="eastAsia" w:ascii="仿宋_GB2312" w:hAnsi="仿宋_GB2312" w:cs="仿宋_GB2312"/>
          <w:color w:val="FF0000"/>
        </w:rPr>
      </w:pPr>
    </w:p>
    <w:p>
      <w:pPr>
        <w:snapToGrid w:val="0"/>
        <w:ind w:firstLine="417" w:firstLineChars="199"/>
        <w:rPr>
          <w:rFonts w:hint="eastAsia" w:ascii="仿宋_GB2312" w:hAnsi="仿宋_GB2312" w:cs="仿宋_GB2312"/>
          <w:color w:val="FF0000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推进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一校两附院”</w:t>
      </w:r>
      <w:r>
        <w:rPr>
          <w:rFonts w:hint="eastAsia" w:ascii="仿宋_GB2312" w:hAnsi="仿宋_GB2312" w:eastAsia="仿宋_GB2312" w:cs="仿宋_GB2312"/>
          <w:sz w:val="32"/>
          <w:szCs w:val="32"/>
        </w:rPr>
        <w:t>政治监督具体化常态化工作机制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做实对“一把手”和领导班子监督工作机制研究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一校两附院”</w:t>
      </w:r>
      <w:r>
        <w:rPr>
          <w:rFonts w:hint="eastAsia" w:ascii="仿宋_GB2312" w:hAnsi="仿宋_GB2312" w:eastAsia="仿宋_GB2312" w:cs="仿宋_GB2312"/>
          <w:sz w:val="32"/>
          <w:szCs w:val="32"/>
        </w:rPr>
        <w:t>年轻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干部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教育监督管理路径研究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一校两附院”</w:t>
      </w:r>
      <w:r>
        <w:rPr>
          <w:rFonts w:hint="eastAsia" w:ascii="仿宋_GB2312" w:hAnsi="仿宋_GB2312" w:eastAsia="仿宋_GB2312" w:cs="仿宋_GB2312"/>
          <w:sz w:val="32"/>
          <w:szCs w:val="32"/>
        </w:rPr>
        <w:t>廉洁文化建设路径创新研究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5.落实“四个融入”要求开展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巡察整改评估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促进</w:t>
      </w:r>
      <w:r>
        <w:rPr>
          <w:rFonts w:hint="eastAsia" w:ascii="仿宋_GB2312" w:hAnsi="仿宋_GB2312" w:eastAsia="仿宋_GB2312" w:cs="仿宋_GB2312"/>
          <w:sz w:val="32"/>
          <w:szCs w:val="32"/>
        </w:rPr>
        <w:t>机制研究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6.开展校内巡察机制研究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一校两附院”纪委规范化、法治化、正规化建设研究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8.一体推进“不敢腐、不能腐、不想腐”机制创新研究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9.纠治教育领域师生群众身边腐败，加强师德师风建设研究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10.纠治医疗领域群众反映强烈的突出问题研究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11.大数据赋能深化重点领域廉洁风险防控机制研究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12.健全政治生态分析研判体系构建和路径实践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13.深化一校两附院“四责协同”工作机制研究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14.二级单位纪检委员角色担当与行动路径研究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15.社会、家庭、学校“一体化”加强对大学生的廉政教育研究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hNTIwZGRmMWEyOTNhYjVjMGY2NDkwYjU3YmI3MDEifQ=="/>
  </w:docVars>
  <w:rsids>
    <w:rsidRoot w:val="1B6A5E42"/>
    <w:rsid w:val="1AE47C98"/>
    <w:rsid w:val="1B6A5E42"/>
    <w:rsid w:val="1E3B1F9F"/>
    <w:rsid w:val="58DB1FAC"/>
    <w:rsid w:val="644B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360</Words>
  <Characters>384</Characters>
  <Lines>0</Lines>
  <Paragraphs>0</Paragraphs>
  <TotalTime>2</TotalTime>
  <ScaleCrop>false</ScaleCrop>
  <LinksUpToDate>false</LinksUpToDate>
  <CharactersWithSpaces>384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2022-10-25T02:09:00Z</dcterms:created>
  <dc:creator>W℡</dc:creator>
  <cp:lastModifiedBy>W℡</cp:lastModifiedBy>
  <dcterms:modified xsi:type="dcterms:W3CDTF">2022-10-25T06:15:50Z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02B3F00B82594AA1A4051BA1598EF083</vt:lpwstr>
  </property>
</Properties>
</file>